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2B7" w:rsidRPr="00C90886" w:rsidRDefault="00EA32B7" w:rsidP="00EA32B7">
      <w:pPr>
        <w:rPr>
          <w:rFonts w:ascii="Arial" w:hAnsi="Arial" w:cs="Arial"/>
          <w:lang w:val="fr-FR"/>
        </w:rPr>
      </w:pPr>
    </w:p>
    <w:p w:rsidR="006C52F8" w:rsidRPr="003D47EA" w:rsidRDefault="006C52F8" w:rsidP="006C52F8">
      <w:pPr>
        <w:spacing w:after="120"/>
        <w:jc w:val="center"/>
        <w:rPr>
          <w:rFonts w:ascii="Arial" w:hAnsi="Arial" w:cs="Arial"/>
          <w:b/>
          <w:sz w:val="28"/>
          <w:szCs w:val="28"/>
          <w:lang w:val="fr-FR"/>
        </w:rPr>
      </w:pPr>
      <w:bookmarkStart w:id="0" w:name="_Toc382388313"/>
      <w:bookmarkStart w:id="1" w:name="_Toc382561257"/>
      <w:r w:rsidRPr="00C90886">
        <w:rPr>
          <w:rFonts w:ascii="Arial" w:hAnsi="Arial" w:cs="Arial"/>
          <w:b/>
          <w:sz w:val="28"/>
          <w:szCs w:val="28"/>
          <w:lang w:val="fr-FR"/>
        </w:rPr>
        <w:t xml:space="preserve">LA </w:t>
      </w:r>
      <w:r w:rsidRPr="00557D5A">
        <w:rPr>
          <w:rFonts w:ascii="Arial" w:hAnsi="Arial" w:cs="Arial"/>
          <w:b/>
          <w:sz w:val="28"/>
          <w:szCs w:val="28"/>
          <w:lang w:val="fr-FR"/>
        </w:rPr>
        <w:t>GÉODYNAMIQUE ACTUELLE DE LA RÉGION DU SUD DE L’ALASKA ET SON LIEN AVEC LE GRAND</w:t>
      </w:r>
      <w:r w:rsidRPr="00C90886">
        <w:rPr>
          <w:rFonts w:ascii="Arial" w:hAnsi="Arial" w:cs="Arial"/>
          <w:b/>
          <w:sz w:val="28"/>
          <w:szCs w:val="28"/>
          <w:lang w:val="fr-FR"/>
        </w:rPr>
        <w:t xml:space="preserve"> </w:t>
      </w:r>
      <w:r>
        <w:rPr>
          <w:rFonts w:ascii="Arial" w:hAnsi="Arial" w:cs="Arial"/>
          <w:b/>
          <w:sz w:val="28"/>
          <w:szCs w:val="28"/>
          <w:lang w:val="fr-FR"/>
        </w:rPr>
        <w:t>SÉISME</w:t>
      </w:r>
      <w:r w:rsidRPr="00C90886">
        <w:rPr>
          <w:rFonts w:ascii="Arial" w:hAnsi="Arial" w:cs="Arial"/>
          <w:b/>
          <w:sz w:val="28"/>
          <w:szCs w:val="28"/>
          <w:lang w:val="fr-FR"/>
        </w:rPr>
        <w:t xml:space="preserve"> DE 1964 </w:t>
      </w:r>
    </w:p>
    <w:p w:rsidR="006C52F8" w:rsidRPr="00C90886" w:rsidRDefault="006C52F8" w:rsidP="006C52F8">
      <w:pPr>
        <w:rPr>
          <w:rFonts w:ascii="Arial" w:hAnsi="Arial" w:cs="Arial"/>
          <w:lang w:val="fr-FR"/>
        </w:rPr>
      </w:pPr>
      <w:r>
        <w:rPr>
          <w:rFonts w:ascii="Arial" w:hAnsi="Arial" w:cs="Arial"/>
          <w:lang w:val="fr-FR"/>
        </w:rPr>
        <w:t>Par : Marie-P</w:t>
      </w:r>
      <w:r w:rsidRPr="00C90886">
        <w:rPr>
          <w:rFonts w:ascii="Arial" w:hAnsi="Arial" w:cs="Arial"/>
          <w:lang w:val="fr-FR"/>
        </w:rPr>
        <w:t>ier Bédard</w:t>
      </w:r>
      <w:r>
        <w:rPr>
          <w:rFonts w:ascii="Arial" w:hAnsi="Arial" w:cs="Arial"/>
          <w:lang w:val="fr-FR"/>
        </w:rPr>
        <w:t xml:space="preserve">, </w:t>
      </w:r>
      <w:r w:rsidRPr="00C90886">
        <w:rPr>
          <w:rFonts w:ascii="Arial" w:hAnsi="Arial" w:cs="Arial"/>
          <w:lang w:val="fr-FR"/>
        </w:rPr>
        <w:t>André Gauvin</w:t>
      </w:r>
      <w:r>
        <w:rPr>
          <w:rFonts w:ascii="Arial" w:hAnsi="Arial" w:cs="Arial"/>
          <w:lang w:val="fr-FR"/>
        </w:rPr>
        <w:t xml:space="preserve">, </w:t>
      </w:r>
      <w:r w:rsidRPr="00C90886">
        <w:rPr>
          <w:rFonts w:ascii="Arial" w:hAnsi="Arial" w:cs="Arial"/>
          <w:lang w:val="fr-FR"/>
        </w:rPr>
        <w:t>Heidi Penttinen</w:t>
      </w:r>
      <w:r>
        <w:rPr>
          <w:rFonts w:ascii="Arial" w:hAnsi="Arial" w:cs="Arial"/>
          <w:lang w:val="fr-FR"/>
        </w:rPr>
        <w:t>, étudiants de l’OGUL 2014</w:t>
      </w:r>
    </w:p>
    <w:p w:rsidR="006C52F8" w:rsidRPr="006C52F8" w:rsidRDefault="006C52F8" w:rsidP="00EA32B7">
      <w:pPr>
        <w:pStyle w:val="Titre1"/>
        <w:spacing w:line="360" w:lineRule="auto"/>
        <w:rPr>
          <w:rFonts w:ascii="Arial" w:hAnsi="Arial" w:cs="Arial"/>
          <w:color w:val="auto"/>
          <w:lang w:val="fr-FR"/>
        </w:rPr>
      </w:pPr>
    </w:p>
    <w:p w:rsidR="00EA32B7" w:rsidRPr="006047FD" w:rsidRDefault="00EA32B7" w:rsidP="00EA32B7">
      <w:pPr>
        <w:pStyle w:val="Titre1"/>
        <w:spacing w:line="360" w:lineRule="auto"/>
        <w:rPr>
          <w:rFonts w:ascii="Arial" w:hAnsi="Arial" w:cs="Arial"/>
          <w:color w:val="auto"/>
        </w:rPr>
      </w:pPr>
      <w:r w:rsidRPr="006047FD">
        <w:rPr>
          <w:rFonts w:ascii="Arial" w:hAnsi="Arial" w:cs="Arial"/>
          <w:color w:val="auto"/>
        </w:rPr>
        <w:t>Introduction</w:t>
      </w:r>
      <w:bookmarkEnd w:id="0"/>
      <w:bookmarkEnd w:id="1"/>
    </w:p>
    <w:p w:rsidR="00EA32B7" w:rsidRDefault="00EA32B7" w:rsidP="00EA32B7">
      <w:pPr>
        <w:spacing w:line="360" w:lineRule="auto"/>
        <w:jc w:val="both"/>
        <w:rPr>
          <w:rFonts w:ascii="Arial" w:hAnsi="Arial" w:cs="Arial"/>
        </w:rPr>
      </w:pPr>
      <w:r>
        <w:rPr>
          <w:rFonts w:ascii="Arial" w:hAnsi="Arial" w:cs="Arial"/>
          <w:noProof/>
          <w:lang w:eastAsia="fr-CA"/>
        </w:rPr>
        <w:drawing>
          <wp:anchor distT="0" distB="0" distL="114300" distR="114300" simplePos="0" relativeHeight="251661312" behindDoc="0" locked="0" layoutInCell="1" allowOverlap="1">
            <wp:simplePos x="0" y="0"/>
            <wp:positionH relativeFrom="margin">
              <wp:posOffset>-190500</wp:posOffset>
            </wp:positionH>
            <wp:positionV relativeFrom="margin">
              <wp:posOffset>1885950</wp:posOffset>
            </wp:positionV>
            <wp:extent cx="1588135" cy="149733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8135" cy="1497330"/>
                    </a:xfrm>
                    <a:prstGeom prst="rect">
                      <a:avLst/>
                    </a:prstGeom>
                  </pic:spPr>
                </pic:pic>
              </a:graphicData>
            </a:graphic>
          </wp:anchor>
        </w:drawing>
      </w:r>
      <w:r w:rsidR="00AD0F73" w:rsidRPr="00AD0F73">
        <w:rPr>
          <w:noProof/>
        </w:rPr>
        <w:pict>
          <v:shapetype id="_x0000_t202" coordsize="21600,21600" o:spt="202" path="m,l,21600r21600,l21600,xe">
            <v:stroke joinstyle="miter"/>
            <v:path gradientshapeok="t" o:connecttype="rect"/>
          </v:shapetype>
          <v:shape id="Zone de texte 1" o:spid="_x0000_s1026" type="#_x0000_t202" style="position:absolute;left:0;text-align:left;margin-left:-16.5pt;margin-top:437.1pt;width:320.25pt;height:.0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" stroked="f">
            <v:textbox style="mso-fit-shape-to-text:t" inset="0,0,0,0">
              <w:txbxContent>
                <w:p w:rsidR="00EA32B7" w:rsidRPr="00EA32B7" w:rsidRDefault="00EA32B7" w:rsidP="00EA32B7">
                  <w:pPr>
                    <w:pStyle w:val="Lgende"/>
                    <w:jc w:val="center"/>
                    <w:rPr>
                      <w:rFonts w:ascii="Arial" w:hAnsi="Arial" w:cs="Arial"/>
                      <w:noProof/>
                      <w:color w:val="auto"/>
                    </w:rPr>
                  </w:pPr>
                  <w:bookmarkStart w:id="2" w:name="_Toc382389140"/>
                  <w:bookmarkStart w:id="3" w:name="_Toc382561265"/>
                  <w:r w:rsidRPr="00EA32B7">
                    <w:rPr>
                      <w:color w:val="auto"/>
                    </w:rPr>
                    <w:t xml:space="preserve">Figure </w:t>
                  </w:r>
                  <w:r w:rsidR="00AD0F73" w:rsidRPr="00EA32B7">
                    <w:rPr>
                      <w:color w:val="auto"/>
                    </w:rPr>
                    <w:fldChar w:fldCharType="begin"/>
                  </w:r>
                  <w:r w:rsidRPr="00EA32B7">
                    <w:rPr>
                      <w:color w:val="auto"/>
                    </w:rPr>
                    <w:instrText xml:space="preserve"> SEQ Figure \* ARABIC </w:instrText>
                  </w:r>
                  <w:r w:rsidR="00AD0F73" w:rsidRPr="00EA32B7">
                    <w:rPr>
                      <w:color w:val="auto"/>
                    </w:rPr>
                    <w:fldChar w:fldCharType="separate"/>
                  </w:r>
                  <w:r w:rsidR="00620B6E">
                    <w:rPr>
                      <w:noProof/>
                      <w:color w:val="auto"/>
                    </w:rPr>
                    <w:t>1</w:t>
                  </w:r>
                  <w:r w:rsidR="00AD0F73" w:rsidRPr="00EA32B7">
                    <w:rPr>
                      <w:color w:val="auto"/>
                    </w:rPr>
                    <w:fldChar w:fldCharType="end"/>
                  </w:r>
                  <w:r w:rsidRPr="00EA32B7">
                    <w:rPr>
                      <w:color w:val="auto"/>
                    </w:rPr>
                    <w:t xml:space="preserve"> : Contexte tectonique du sud de l’Alaska montrant l’épicentre du séisme de 9,2 sur l’échelle de Richter (étoile rouge) (USGS, 2014)</w:t>
                  </w:r>
                  <w:bookmarkEnd w:id="2"/>
                  <w:bookmarkEnd w:id="3"/>
                </w:p>
              </w:txbxContent>
            </v:textbox>
            <w10:wrap type="square"/>
          </v:shape>
        </w:pict>
      </w:r>
      <w:r>
        <w:rPr>
          <w:noProof/>
          <w:lang w:eastAsia="fr-CA"/>
        </w:rPr>
        <w:drawing>
          <wp:anchor distT="0" distB="0" distL="114300" distR="114300" simplePos="0" relativeHeight="251660288" behindDoc="0" locked="0" layoutInCell="1" allowOverlap="1">
            <wp:simplePos x="0" y="0"/>
            <wp:positionH relativeFrom="margin">
              <wp:posOffset>-209550</wp:posOffset>
            </wp:positionH>
            <wp:positionV relativeFrom="margin">
              <wp:posOffset>2390775</wp:posOffset>
            </wp:positionV>
            <wp:extent cx="4067175" cy="371475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2.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7175" cy="3714750"/>
                    </a:xfrm>
                    <a:prstGeom prst="rect">
                      <a:avLst/>
                    </a:prstGeom>
                  </pic:spPr>
                </pic:pic>
              </a:graphicData>
            </a:graphic>
          </wp:anchor>
        </w:drawing>
      </w:r>
      <w:r w:rsidRPr="00380884">
        <w:rPr>
          <w:rFonts w:ascii="Arial" w:hAnsi="Arial" w:cs="Arial"/>
        </w:rPr>
        <w:t xml:space="preserve">Le </w:t>
      </w:r>
      <w:r>
        <w:rPr>
          <w:rFonts w:ascii="Arial" w:hAnsi="Arial" w:cs="Arial"/>
        </w:rPr>
        <w:t xml:space="preserve">puissant </w:t>
      </w:r>
      <w:r w:rsidRPr="00380884">
        <w:rPr>
          <w:rFonts w:ascii="Arial" w:hAnsi="Arial" w:cs="Arial"/>
        </w:rPr>
        <w:t>séisme</w:t>
      </w:r>
      <w:r>
        <w:rPr>
          <w:rFonts w:ascii="Arial" w:hAnsi="Arial" w:cs="Arial"/>
        </w:rPr>
        <w:t xml:space="preserve"> d’une magnitude de 9.2 sur l’échelle de Richter</w:t>
      </w:r>
      <w:r w:rsidRPr="00380884">
        <w:rPr>
          <w:rFonts w:ascii="Arial" w:hAnsi="Arial" w:cs="Arial"/>
        </w:rPr>
        <w:t xml:space="preserve"> a eu lieu à Prince William Sound à </w:t>
      </w:r>
      <w:r w:rsidRPr="00557D5A">
        <w:rPr>
          <w:rFonts w:ascii="Arial" w:hAnsi="Arial" w:cs="Arial"/>
        </w:rPr>
        <w:t>environ 120 km à l’est d’Anchorage, la ville la plus peuplée de l’Alaska. L’épicentre a été localisé à une latitude de 61,04</w:t>
      </w:r>
      <w:r w:rsidR="0040387F" w:rsidRPr="00557D5A">
        <w:rPr>
          <w:rFonts w:ascii="Arial" w:hAnsi="Arial" w:cs="Arial"/>
        </w:rPr>
        <w:t>°</w:t>
      </w:r>
      <w:r w:rsidRPr="00557D5A">
        <w:rPr>
          <w:rFonts w:ascii="Arial" w:hAnsi="Arial" w:cs="Arial"/>
        </w:rPr>
        <w:t>N et longitude de 147,73</w:t>
      </w:r>
      <w:r w:rsidR="0040387F" w:rsidRPr="00557D5A">
        <w:rPr>
          <w:rFonts w:ascii="Arial" w:hAnsi="Arial" w:cs="Arial"/>
        </w:rPr>
        <w:t>°</w:t>
      </w:r>
      <w:r w:rsidRPr="00557D5A">
        <w:rPr>
          <w:rFonts w:ascii="Arial" w:hAnsi="Arial" w:cs="Arial"/>
        </w:rPr>
        <w:t xml:space="preserve">W. Cette secousse, qui a perturbé une grande partie de l’Alaska, a été déclenchée à une profondeur d’environ 25 km </w:t>
      </w:r>
      <w:r w:rsidR="0040387F" w:rsidRPr="00557D5A">
        <w:rPr>
          <w:rFonts w:ascii="Arial" w:hAnsi="Arial" w:cs="Arial"/>
        </w:rPr>
        <w:t>suite</w:t>
      </w:r>
      <w:r w:rsidRPr="00557D5A">
        <w:rPr>
          <w:rFonts w:ascii="Arial" w:hAnsi="Arial" w:cs="Arial"/>
        </w:rPr>
        <w:t xml:space="preserve"> à un</w:t>
      </w:r>
      <w:r>
        <w:rPr>
          <w:rFonts w:ascii="Arial" w:hAnsi="Arial" w:cs="Arial"/>
        </w:rPr>
        <w:t xml:space="preserve"> relâchement des fortes tensions accumulées par la compression et la déformation de la croûte lithosphérique nord-américaine, au sud de l’Alaska. Cette zone est caractérisée par la subduction de la plaque océanique du Pacifique, se déplaçant à une vitesse de 5 à 7 cm par année, sous la plaque continentale Nord-Américaine (AEIC, 2002). La fosse des Aléoutiennes, d’une </w:t>
      </w:r>
      <w:r>
        <w:rPr>
          <w:rFonts w:ascii="Arial" w:hAnsi="Arial" w:cs="Arial"/>
        </w:rPr>
        <w:lastRenderedPageBreak/>
        <w:t xml:space="preserve">profondeur d’environ 4500 m, est formée par cet événement tectonique. La figure 1 illustre bien le contexte tectonique de la région à l’étude ainsi que l’épicentre du séisme. Plusieurs tsunamis ont été déclenchés suite à la puissante secousse sismique, entrainant la mort et une grande quantité de dégâts matériels jusqu’au sud-ouest des États-Unis. L’ensemble de cet article portera principalement sur la géodynamique de 1964, notamment les mécanismes de formation de cet important séisme qui a marqué l’histoire de l’Alaska, ainsi que ceux qui ont formés les tsunamis. </w:t>
      </w:r>
    </w:p>
    <w:p w:rsidR="00EA32B7" w:rsidRPr="00EA32B7" w:rsidRDefault="00EA32B7" w:rsidP="00EA32B7">
      <w:pPr>
        <w:pStyle w:val="Titre1"/>
        <w:rPr>
          <w:rFonts w:ascii="Arial" w:hAnsi="Arial" w:cs="Arial"/>
          <w:color w:val="auto"/>
        </w:rPr>
        <w:sectPr w:rsidR="00EA32B7" w:rsidRPr="00EA32B7" w:rsidSect="00B02965">
          <w:footerReference w:type="default" r:id="rId9"/>
          <w:pgSz w:w="12240" w:h="15840"/>
          <w:pgMar w:top="1440" w:right="1800" w:bottom="1440" w:left="1800" w:header="708" w:footer="708" w:gutter="0"/>
          <w:cols w:space="708"/>
          <w:docGrid w:linePitch="360"/>
        </w:sectPr>
      </w:pPr>
    </w:p>
    <w:p w:rsidR="00EA32B7" w:rsidRPr="006047FD" w:rsidRDefault="00EA32B7" w:rsidP="00EA32B7">
      <w:pPr>
        <w:pStyle w:val="Titre1"/>
        <w:spacing w:line="360" w:lineRule="auto"/>
        <w:rPr>
          <w:rFonts w:ascii="Arial" w:hAnsi="Arial" w:cs="Arial"/>
          <w:color w:val="auto"/>
        </w:rPr>
      </w:pPr>
      <w:bookmarkStart w:id="4" w:name="_Toc382388314"/>
      <w:bookmarkStart w:id="5" w:name="_Toc382561258"/>
      <w:r w:rsidRPr="006047FD">
        <w:rPr>
          <w:rFonts w:ascii="Arial" w:hAnsi="Arial" w:cs="Arial"/>
          <w:color w:val="auto"/>
        </w:rPr>
        <w:lastRenderedPageBreak/>
        <w:t>Contexte tectonique de la zone sismique</w:t>
      </w:r>
      <w:bookmarkEnd w:id="4"/>
      <w:bookmarkEnd w:id="5"/>
    </w:p>
    <w:p w:rsidR="00EA32B7" w:rsidRDefault="00EA32B7" w:rsidP="00EA32B7">
      <w:pPr>
        <w:spacing w:line="360" w:lineRule="auto"/>
        <w:jc w:val="both"/>
        <w:rPr>
          <w:rFonts w:ascii="Arial" w:hAnsi="Arial" w:cs="Times New Roman"/>
        </w:rPr>
      </w:pPr>
      <w:r>
        <w:rPr>
          <w:rFonts w:ascii="Arial" w:hAnsi="Arial" w:cs="Times New Roman"/>
        </w:rPr>
        <w:t>Trois plaques, dont deux majeures, interagissent sur les côtes de l'Alaska (figure 2) : la plaque Pacifique, la plaque Nord-Américaine et la microplaque Yakutat.  Les trois plaqu</w:t>
      </w:r>
      <w:r w:rsidR="00AB1075">
        <w:rPr>
          <w:rFonts w:ascii="Arial" w:hAnsi="Arial" w:cs="Times New Roman"/>
        </w:rPr>
        <w:t xml:space="preserve">es se rencontrent et créent un point </w:t>
      </w:r>
      <w:r>
        <w:rPr>
          <w:rFonts w:ascii="Arial" w:hAnsi="Arial" w:cs="Times New Roman"/>
        </w:rPr>
        <w:t xml:space="preserve">triple complexe et instable près de l'île de Kayak (Gulick et al., 2013).  Celle-ci serait en train d'évoluer vers une jonction faille-fosse-fosse, </w:t>
      </w:r>
      <w:r w:rsidRPr="003920C5">
        <w:rPr>
          <w:rFonts w:ascii="Arial" w:hAnsi="Arial" w:cs="Times New Roman"/>
        </w:rPr>
        <w:t>composé</w:t>
      </w:r>
      <w:r w:rsidR="0040387F" w:rsidRPr="003920C5">
        <w:rPr>
          <w:rFonts w:ascii="Arial" w:hAnsi="Arial" w:cs="Times New Roman"/>
        </w:rPr>
        <w:t>e</w:t>
      </w:r>
      <w:r w:rsidRPr="003920C5">
        <w:rPr>
          <w:rFonts w:ascii="Arial" w:hAnsi="Arial" w:cs="Times New Roman"/>
        </w:rPr>
        <w:t xml:space="preserve"> de la fosse Aléoutienne</w:t>
      </w:r>
      <w:r>
        <w:rPr>
          <w:rFonts w:ascii="Arial" w:hAnsi="Arial" w:cs="Times New Roman"/>
        </w:rPr>
        <w:t>, du front de déformation de la zone de Pamplona, où la microplaque de Yakutat subducte sous la plaque Nord-Américaine, ainsi que la faille de Transition, une faille de décrochement quasi-verticale séparant  la microplaque de Yakutat et la plaque du Pacifique.</w:t>
      </w:r>
    </w:p>
    <w:p w:rsidR="00EA32B7" w:rsidRDefault="00EA32B7" w:rsidP="00EA32B7">
      <w:pPr>
        <w:spacing w:line="360" w:lineRule="auto"/>
        <w:jc w:val="both"/>
        <w:rPr>
          <w:rFonts w:ascii="Arial" w:hAnsi="Arial" w:cs="Times New Roman"/>
        </w:rPr>
      </w:pPr>
      <w:r>
        <w:rPr>
          <w:rFonts w:ascii="Arial" w:hAnsi="Arial" w:cs="Times New Roman"/>
        </w:rPr>
        <w:t xml:space="preserve">La plaque Pacifique est une des plaques majeures </w:t>
      </w:r>
      <w:r w:rsidRPr="003920C5">
        <w:rPr>
          <w:rFonts w:ascii="Arial" w:hAnsi="Arial" w:cs="Times New Roman"/>
        </w:rPr>
        <w:t>situé</w:t>
      </w:r>
      <w:r w:rsidR="0040387F" w:rsidRPr="003920C5">
        <w:rPr>
          <w:rFonts w:ascii="Arial" w:hAnsi="Arial" w:cs="Times New Roman"/>
        </w:rPr>
        <w:t>es sous l'Océan P</w:t>
      </w:r>
      <w:r w:rsidRPr="003920C5">
        <w:rPr>
          <w:rFonts w:ascii="Arial" w:hAnsi="Arial" w:cs="Times New Roman"/>
        </w:rPr>
        <w:t>acifique.</w:t>
      </w:r>
      <w:r>
        <w:rPr>
          <w:rFonts w:ascii="Arial" w:hAnsi="Arial" w:cs="Times New Roman"/>
        </w:rPr>
        <w:t xml:space="preserve">  Au niveau de l'Alaska, elle a un </w:t>
      </w:r>
      <w:r w:rsidRPr="003920C5">
        <w:rPr>
          <w:rFonts w:ascii="Arial" w:hAnsi="Arial" w:cs="Times New Roman"/>
        </w:rPr>
        <w:t xml:space="preserve">âge </w:t>
      </w:r>
      <w:r w:rsidR="0040387F" w:rsidRPr="003920C5">
        <w:rPr>
          <w:rFonts w:ascii="Arial" w:hAnsi="Arial" w:cs="Times New Roman"/>
        </w:rPr>
        <w:t xml:space="preserve">variant de 25 à </w:t>
      </w:r>
      <w:r w:rsidRPr="003920C5">
        <w:rPr>
          <w:rFonts w:ascii="Arial" w:hAnsi="Arial" w:cs="Times New Roman"/>
        </w:rPr>
        <w:t>35 Ma</w:t>
      </w:r>
      <w:r>
        <w:rPr>
          <w:rFonts w:ascii="Arial" w:hAnsi="Arial" w:cs="Times New Roman"/>
        </w:rPr>
        <w:t xml:space="preserve"> (Naugler et Wageman, 1973) et une épaisseur crustale d'environ 5 à 5,5  kilomètres (Christeson et al., 2010).</w:t>
      </w:r>
      <w:bookmarkStart w:id="6" w:name="_GoBack"/>
      <w:bookmarkEnd w:id="6"/>
    </w:p>
    <w:p w:rsidR="00EA32B7" w:rsidRDefault="00AD0F73" w:rsidP="00EA32B7">
      <w:pPr>
        <w:spacing w:line="360" w:lineRule="auto"/>
        <w:jc w:val="both"/>
        <w:rPr>
          <w:rFonts w:ascii="Arial" w:hAnsi="Arial" w:cs="Times New Roman"/>
        </w:rPr>
      </w:pPr>
      <w:r w:rsidRPr="00AD0F73">
        <w:rPr>
          <w:noProof/>
        </w:rPr>
        <w:pict>
          <v:shape id="Zone de texte 6" o:spid="_x0000_s1027" type="#_x0000_t202" style="position:absolute;left:0;text-align:left;margin-left:157.25pt;margin-top:291.75pt;width:296.95pt;height:53.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" stroked="f">
            <v:textbox style="mso-fit-shape-to-text:t" inset="0,0,0,0">
              <w:txbxContent>
                <w:p w:rsidR="00EA32B7" w:rsidRPr="00EA32B7" w:rsidRDefault="00EA32B7" w:rsidP="00EA32B7">
                  <w:pPr>
                    <w:pStyle w:val="Lgende"/>
                    <w:jc w:val="center"/>
                    <w:rPr>
                      <w:rFonts w:ascii="Arial" w:hAnsi="Arial" w:cs="Times New Roman"/>
                      <w:noProof/>
                      <w:color w:val="auto"/>
                    </w:rPr>
                  </w:pPr>
                  <w:bookmarkStart w:id="7" w:name="_Toc382561266"/>
                  <w:r w:rsidRPr="00EA32B7">
                    <w:rPr>
                      <w:color w:val="auto"/>
                    </w:rPr>
                    <w:t xml:space="preserve">Figure </w:t>
                  </w:r>
                  <w:r w:rsidR="00AD0F73" w:rsidRPr="00EA32B7">
                    <w:rPr>
                      <w:color w:val="auto"/>
                    </w:rPr>
                    <w:fldChar w:fldCharType="begin"/>
                  </w:r>
                  <w:r w:rsidRPr="00EA32B7">
                    <w:rPr>
                      <w:color w:val="auto"/>
                    </w:rPr>
                    <w:instrText xml:space="preserve"> SEQ Figure \* ARABIC </w:instrText>
                  </w:r>
                  <w:r w:rsidR="00AD0F73" w:rsidRPr="00EA32B7">
                    <w:rPr>
                      <w:color w:val="auto"/>
                    </w:rPr>
                    <w:fldChar w:fldCharType="separate"/>
                  </w:r>
                  <w:r w:rsidR="00620B6E">
                    <w:rPr>
                      <w:noProof/>
                      <w:color w:val="auto"/>
                    </w:rPr>
                    <w:t>2</w:t>
                  </w:r>
                  <w:r w:rsidR="00AD0F73" w:rsidRPr="00EA32B7">
                    <w:rPr>
                      <w:color w:val="auto"/>
                    </w:rPr>
                    <w:fldChar w:fldCharType="end"/>
                  </w:r>
                  <w:r w:rsidRPr="00EA32B7">
                    <w:rPr>
                      <w:color w:val="auto"/>
                    </w:rPr>
                    <w:t xml:space="preserve"> : Localisation des trois plaques et </w:t>
                  </w:r>
                  <w:r w:rsidRPr="00AB1075">
                    <w:rPr>
                      <w:color w:val="auto"/>
                    </w:rPr>
                    <w:t xml:space="preserve">du </w:t>
                  </w:r>
                  <w:r w:rsidR="0040387F" w:rsidRPr="00AB1075">
                    <w:rPr>
                      <w:color w:val="auto"/>
                    </w:rPr>
                    <w:t>point</w:t>
                  </w:r>
                  <w:r w:rsidR="0040387F">
                    <w:rPr>
                      <w:color w:val="auto"/>
                    </w:rPr>
                    <w:t xml:space="preserve"> </w:t>
                  </w:r>
                  <w:r w:rsidRPr="00EA32B7">
                    <w:rPr>
                      <w:color w:val="auto"/>
                    </w:rPr>
                    <w:t>triple près d'Alaska.  Les triangles rouges représentent des volcans, alors que la ligne STEEP02 présente la localisation d'un profil de réflexion sismique.  Tirée de Christeson et al. (2010).</w:t>
                  </w:r>
                  <w:bookmarkEnd w:id="7"/>
                </w:p>
              </w:txbxContent>
            </v:textbox>
            <w10:wrap type="square" side="largest"/>
          </v:shape>
        </w:pict>
      </w:r>
      <w:r w:rsidR="00E23953">
        <w:rPr>
          <w:rFonts w:ascii="Arial" w:hAnsi="Arial" w:cs="Times New Roman"/>
          <w:noProof/>
          <w:lang w:eastAsia="fr-CA"/>
        </w:rPr>
        <w:drawing>
          <wp:anchor distT="0" distB="0" distL="0" distR="0" simplePos="0" relativeHeight="251665408" behindDoc="0" locked="0" layoutInCell="1" allowOverlap="1">
            <wp:simplePos x="0" y="0"/>
            <wp:positionH relativeFrom="column">
              <wp:posOffset>1901825</wp:posOffset>
            </wp:positionH>
            <wp:positionV relativeFrom="paragraph">
              <wp:posOffset>88265</wp:posOffset>
            </wp:positionV>
            <wp:extent cx="3771265" cy="3455035"/>
            <wp:effectExtent l="0" t="0" r="0" b="0"/>
            <wp:wrapSquare wrapText="larges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771265" cy="3455035"/>
                    </a:xfrm>
                    <a:prstGeom prst="rect">
                      <a:avLst/>
                    </a:prstGeom>
                    <a:solidFill>
                      <a:srgbClr val="FFFFFF"/>
                    </a:solidFill>
                    <a:ln w="9525">
                      <a:noFill/>
                      <a:miter lim="800000"/>
                      <a:headEnd/>
                      <a:tailEnd/>
                    </a:ln>
                  </pic:spPr>
                </pic:pic>
              </a:graphicData>
            </a:graphic>
          </wp:anchor>
        </w:drawing>
      </w:r>
      <w:r w:rsidR="00EA32B7">
        <w:rPr>
          <w:rFonts w:ascii="Arial" w:hAnsi="Arial" w:cs="Times New Roman"/>
        </w:rPr>
        <w:t xml:space="preserve">L'Alaska fait partie de la plaque Nord-Américaine.  La </w:t>
      </w:r>
      <w:r w:rsidR="00EA32B7" w:rsidRPr="003920C5">
        <w:rPr>
          <w:rFonts w:ascii="Arial" w:hAnsi="Arial" w:cs="Times New Roman"/>
        </w:rPr>
        <w:t>géologie de surface est surtout dominé</w:t>
      </w:r>
      <w:r w:rsidR="0040387F" w:rsidRPr="003920C5">
        <w:rPr>
          <w:rFonts w:ascii="Arial" w:hAnsi="Arial" w:cs="Times New Roman"/>
        </w:rPr>
        <w:t>e</w:t>
      </w:r>
      <w:r w:rsidR="00EA32B7" w:rsidRPr="003920C5">
        <w:rPr>
          <w:rFonts w:ascii="Arial" w:hAnsi="Arial" w:cs="Times New Roman"/>
        </w:rPr>
        <w:t xml:space="preserve"> par des roches sédimentaires  mésozoïque</w:t>
      </w:r>
      <w:r w:rsidR="00425DC9" w:rsidRPr="003920C5">
        <w:rPr>
          <w:rFonts w:ascii="Arial" w:hAnsi="Arial" w:cs="Times New Roman"/>
        </w:rPr>
        <w:t xml:space="preserve">s </w:t>
      </w:r>
      <w:r w:rsidR="00EA32B7" w:rsidRPr="003920C5">
        <w:rPr>
          <w:rFonts w:ascii="Arial" w:hAnsi="Arial" w:cs="Times New Roman"/>
        </w:rPr>
        <w:t>et paléozoïque</w:t>
      </w:r>
      <w:r w:rsidR="00425DC9" w:rsidRPr="003920C5">
        <w:rPr>
          <w:rFonts w:ascii="Arial" w:hAnsi="Arial" w:cs="Times New Roman"/>
        </w:rPr>
        <w:t>s</w:t>
      </w:r>
      <w:r w:rsidR="00EA32B7" w:rsidRPr="003920C5">
        <w:rPr>
          <w:rFonts w:ascii="Arial" w:hAnsi="Arial" w:cs="Times New Roman"/>
        </w:rPr>
        <w:t>, ainsi qu</w:t>
      </w:r>
      <w:r w:rsidR="00425DC9" w:rsidRPr="003920C5">
        <w:rPr>
          <w:rFonts w:ascii="Arial" w:hAnsi="Arial" w:cs="Times New Roman"/>
        </w:rPr>
        <w:t>e des dépôts non-consolidés du Q</w:t>
      </w:r>
      <w:r w:rsidR="00EA32B7" w:rsidRPr="003920C5">
        <w:rPr>
          <w:rFonts w:ascii="Arial" w:hAnsi="Arial" w:cs="Times New Roman"/>
        </w:rPr>
        <w:t>uaternaire.  Les chaînes</w:t>
      </w:r>
      <w:r w:rsidR="00EA32B7">
        <w:rPr>
          <w:rFonts w:ascii="Arial" w:hAnsi="Arial" w:cs="Times New Roman"/>
        </w:rPr>
        <w:t xml:space="preserve"> de montagnes, nombreuses dans la région, présentent aussi des roches volcaniqu</w:t>
      </w:r>
      <w:r w:rsidR="00425DC9">
        <w:rPr>
          <w:rFonts w:ascii="Arial" w:hAnsi="Arial" w:cs="Times New Roman"/>
        </w:rPr>
        <w:t xml:space="preserve">es à grade métamorphique </w:t>
      </w:r>
      <w:r w:rsidR="00425DC9" w:rsidRPr="003920C5">
        <w:rPr>
          <w:rFonts w:ascii="Arial" w:hAnsi="Arial" w:cs="Times New Roman"/>
        </w:rPr>
        <w:t xml:space="preserve">variant de </w:t>
      </w:r>
      <w:r w:rsidR="003920C5" w:rsidRPr="003920C5">
        <w:rPr>
          <w:rFonts w:ascii="Arial" w:hAnsi="Arial" w:cs="Times New Roman"/>
        </w:rPr>
        <w:t>faible (faciès zéolite, schistes verts)</w:t>
      </w:r>
      <w:r w:rsidR="00E23953">
        <w:rPr>
          <w:rFonts w:ascii="Arial" w:hAnsi="Arial" w:cs="Times New Roman"/>
        </w:rPr>
        <w:t xml:space="preserve"> à</w:t>
      </w:r>
      <w:r w:rsidR="00425DC9" w:rsidRPr="003920C5">
        <w:rPr>
          <w:rFonts w:ascii="Arial" w:hAnsi="Arial" w:cs="Times New Roman"/>
        </w:rPr>
        <w:t xml:space="preserve"> </w:t>
      </w:r>
      <w:r w:rsidR="00E23953" w:rsidRPr="003920C5">
        <w:rPr>
          <w:rFonts w:ascii="Arial" w:hAnsi="Arial" w:cs="Times New Roman"/>
        </w:rPr>
        <w:t>éleve</w:t>
      </w:r>
      <w:r w:rsidR="00E23953">
        <w:rPr>
          <w:rFonts w:ascii="Arial" w:hAnsi="Arial" w:cs="Times New Roman"/>
        </w:rPr>
        <w:t>r</w:t>
      </w:r>
      <w:r w:rsidR="003920C5" w:rsidRPr="003920C5">
        <w:rPr>
          <w:rFonts w:ascii="Arial" w:hAnsi="Arial" w:cs="Times New Roman"/>
        </w:rPr>
        <w:t xml:space="preserve"> (faciès granulite) (Dusel-Bacon, 1996)</w:t>
      </w:r>
      <w:r w:rsidR="00425DC9">
        <w:rPr>
          <w:rFonts w:ascii="Arial" w:hAnsi="Arial" w:cs="Times New Roman"/>
        </w:rPr>
        <w:t xml:space="preserve"> ainsi que des batholit</w:t>
      </w:r>
      <w:r w:rsidR="00EA32B7">
        <w:rPr>
          <w:rFonts w:ascii="Arial" w:hAnsi="Arial" w:cs="Times New Roman"/>
        </w:rPr>
        <w:t>es (Hansen et al., 1966).</w:t>
      </w:r>
    </w:p>
    <w:p w:rsidR="00EA32B7" w:rsidRPr="00EA32B7" w:rsidRDefault="00EA32B7" w:rsidP="00EA32B7">
      <w:pPr>
        <w:spacing w:after="0"/>
        <w:jc w:val="center"/>
        <w:rPr>
          <w:rFonts w:ascii="Arial" w:hAnsi="Arial" w:cs="Arial"/>
        </w:rPr>
        <w:sectPr w:rsidR="00EA32B7" w:rsidRPr="00EA32B7" w:rsidSect="00B02965">
          <w:pgSz w:w="12240" w:h="15840"/>
          <w:pgMar w:top="1440" w:right="1800" w:bottom="1440" w:left="1800" w:header="708" w:footer="708" w:gutter="0"/>
          <w:cols w:space="708"/>
          <w:docGrid w:linePitch="360"/>
        </w:sectPr>
      </w:pPr>
    </w:p>
    <w:p w:rsidR="00EA32B7" w:rsidRDefault="00EA32B7" w:rsidP="00EA32B7">
      <w:pPr>
        <w:spacing w:line="360" w:lineRule="auto"/>
        <w:jc w:val="both"/>
        <w:rPr>
          <w:rFonts w:ascii="Arial" w:hAnsi="Arial" w:cs="Times New Roman"/>
        </w:rPr>
      </w:pPr>
      <w:r>
        <w:rPr>
          <w:rFonts w:ascii="Arial" w:hAnsi="Arial" w:cs="Times New Roman"/>
        </w:rPr>
        <w:lastRenderedPageBreak/>
        <w:t>La microplaque de Yakutat est composée d'une croûte d'une épaisseur entre 24 et 27 kilomètres et d'unités sédimentaires  ayant une épaisseur totale variant entre 4,5 et 7,5 kilomètres.  L'origine et la nature exacte du Ya</w:t>
      </w:r>
      <w:r w:rsidRPr="00AB1075">
        <w:rPr>
          <w:rFonts w:ascii="Arial" w:hAnsi="Arial" w:cs="Times New Roman"/>
        </w:rPr>
        <w:t xml:space="preserve">kutat </w:t>
      </w:r>
      <w:r w:rsidR="00425DC9" w:rsidRPr="00AB1075">
        <w:rPr>
          <w:rFonts w:ascii="Arial" w:hAnsi="Arial" w:cs="Times New Roman"/>
        </w:rPr>
        <w:t xml:space="preserve">sont </w:t>
      </w:r>
      <w:r w:rsidRPr="00AB1075">
        <w:rPr>
          <w:rFonts w:ascii="Arial" w:hAnsi="Arial" w:cs="Times New Roman"/>
        </w:rPr>
        <w:t>controversé</w:t>
      </w:r>
      <w:r w:rsidR="00425DC9" w:rsidRPr="00AB1075">
        <w:rPr>
          <w:rFonts w:ascii="Arial" w:hAnsi="Arial" w:cs="Times New Roman"/>
        </w:rPr>
        <w:t>es</w:t>
      </w:r>
      <w:r w:rsidRPr="00AB1075">
        <w:rPr>
          <w:rFonts w:ascii="Arial" w:hAnsi="Arial" w:cs="Times New Roman"/>
        </w:rPr>
        <w:t xml:space="preserve"> : le </w:t>
      </w:r>
      <w:r w:rsidR="007B38ED" w:rsidRPr="00AB1075">
        <w:rPr>
          <w:rFonts w:ascii="Arial" w:hAnsi="Arial" w:cs="Times New Roman"/>
        </w:rPr>
        <w:t xml:space="preserve">terrane de </w:t>
      </w:r>
      <w:r w:rsidRPr="00AB1075">
        <w:rPr>
          <w:rFonts w:ascii="Arial" w:hAnsi="Arial" w:cs="Times New Roman"/>
        </w:rPr>
        <w:t>Yakutat a été interprété comme étant soit de la croûte océanique, soit de la croûte continentale ou comme é</w:t>
      </w:r>
      <w:r w:rsidR="007B38ED" w:rsidRPr="00AB1075">
        <w:rPr>
          <w:rFonts w:ascii="Arial" w:hAnsi="Arial" w:cs="Times New Roman"/>
        </w:rPr>
        <w:t>tant un plateau océanique.  S</w:t>
      </w:r>
      <w:r w:rsidRPr="00AB1075">
        <w:rPr>
          <w:rFonts w:ascii="Arial" w:hAnsi="Arial" w:cs="Times New Roman"/>
        </w:rPr>
        <w:t>on épaisseur important</w:t>
      </w:r>
      <w:r w:rsidR="00425DC9" w:rsidRPr="00AB1075">
        <w:rPr>
          <w:rFonts w:ascii="Arial" w:hAnsi="Arial" w:cs="Times New Roman"/>
        </w:rPr>
        <w:t>e</w:t>
      </w:r>
      <w:r w:rsidRPr="00AB1075">
        <w:rPr>
          <w:rFonts w:ascii="Arial" w:hAnsi="Arial" w:cs="Times New Roman"/>
        </w:rPr>
        <w:t xml:space="preserve"> </w:t>
      </w:r>
      <w:r w:rsidR="007B38ED" w:rsidRPr="00AB1075">
        <w:rPr>
          <w:rFonts w:ascii="Arial" w:hAnsi="Arial" w:cs="Times New Roman"/>
        </w:rPr>
        <w:t xml:space="preserve">et </w:t>
      </w:r>
      <w:r w:rsidRPr="00AB1075">
        <w:rPr>
          <w:rFonts w:ascii="Arial" w:hAnsi="Arial" w:cs="Times New Roman"/>
        </w:rPr>
        <w:t xml:space="preserve"> les vitesses sismiques enregistré</w:t>
      </w:r>
      <w:r w:rsidR="00425DC9" w:rsidRPr="00AB1075">
        <w:rPr>
          <w:rFonts w:ascii="Arial" w:hAnsi="Arial" w:cs="Times New Roman"/>
        </w:rPr>
        <w:t>e</w:t>
      </w:r>
      <w:r w:rsidR="007B38ED" w:rsidRPr="00AB1075">
        <w:rPr>
          <w:rFonts w:ascii="Arial" w:hAnsi="Arial" w:cs="Times New Roman"/>
        </w:rPr>
        <w:t>s</w:t>
      </w:r>
      <w:r w:rsidR="00D327BC">
        <w:rPr>
          <w:rFonts w:ascii="Arial" w:hAnsi="Arial" w:cs="Times New Roman"/>
        </w:rPr>
        <w:t xml:space="preserve"> étant</w:t>
      </w:r>
      <w:r w:rsidR="007B38ED" w:rsidRPr="00AB1075">
        <w:rPr>
          <w:rFonts w:ascii="Arial" w:hAnsi="Arial" w:cs="Times New Roman"/>
        </w:rPr>
        <w:t xml:space="preserve"> </w:t>
      </w:r>
      <w:r w:rsidRPr="00AB1075">
        <w:rPr>
          <w:rFonts w:ascii="Arial" w:hAnsi="Arial" w:cs="Times New Roman"/>
        </w:rPr>
        <w:t>sembla</w:t>
      </w:r>
      <w:r w:rsidR="007B38ED" w:rsidRPr="00AB1075">
        <w:rPr>
          <w:rFonts w:ascii="Arial" w:hAnsi="Arial" w:cs="Times New Roman"/>
        </w:rPr>
        <w:t xml:space="preserve">bles au plateau d'Ontong Java </w:t>
      </w:r>
      <w:r w:rsidR="00D327BC">
        <w:rPr>
          <w:rFonts w:ascii="Arial" w:hAnsi="Arial" w:cs="Times New Roman"/>
        </w:rPr>
        <w:t>(</w:t>
      </w:r>
      <w:r w:rsidR="00AB1075">
        <w:rPr>
          <w:rFonts w:ascii="Arial" w:hAnsi="Arial" w:cs="Times New Roman"/>
        </w:rPr>
        <w:t>Christeson et al.</w:t>
      </w:r>
      <w:r w:rsidR="00D327BC">
        <w:rPr>
          <w:rFonts w:ascii="Arial" w:hAnsi="Arial" w:cs="Times New Roman"/>
        </w:rPr>
        <w:t>,</w:t>
      </w:r>
      <w:r w:rsidRPr="00AB1075">
        <w:rPr>
          <w:rFonts w:ascii="Arial" w:hAnsi="Arial" w:cs="Times New Roman"/>
        </w:rPr>
        <w:t xml:space="preserve"> 2010), il s'agit probablement d'un plateau océanique.  Elle n'a pas non plus la même origi</w:t>
      </w:r>
      <w:r w:rsidR="007B38ED" w:rsidRPr="00AB1075">
        <w:rPr>
          <w:rFonts w:ascii="Arial" w:hAnsi="Arial" w:cs="Times New Roman"/>
        </w:rPr>
        <w:t>ne que la portion de la plaque P</w:t>
      </w:r>
      <w:r w:rsidRPr="00AB1075">
        <w:rPr>
          <w:rFonts w:ascii="Arial" w:hAnsi="Arial" w:cs="Times New Roman"/>
        </w:rPr>
        <w:t>acifique adjacente : en plus d'un change</w:t>
      </w:r>
      <w:r w:rsidR="007B38ED" w:rsidRPr="00AB1075">
        <w:rPr>
          <w:rFonts w:ascii="Arial" w:hAnsi="Arial" w:cs="Times New Roman"/>
        </w:rPr>
        <w:t>ment d'épaisseur crustale subit</w:t>
      </w:r>
      <w:r w:rsidRPr="00AB1075">
        <w:rPr>
          <w:rFonts w:ascii="Arial" w:hAnsi="Arial" w:cs="Times New Roman"/>
        </w:rPr>
        <w:t xml:space="preserve"> entre les deux plaques, il y a aussi une différence d'âge importante, avec la microplaque de Yakutat </w:t>
      </w:r>
      <w:r w:rsidR="007B38ED" w:rsidRPr="00AB1075">
        <w:rPr>
          <w:rFonts w:ascii="Arial" w:hAnsi="Arial" w:cs="Times New Roman"/>
        </w:rPr>
        <w:t>qui est  20 Ma plus jeune</w:t>
      </w:r>
      <w:r w:rsidRPr="00AB1075">
        <w:rPr>
          <w:rFonts w:ascii="Arial" w:hAnsi="Arial" w:cs="Times New Roman"/>
        </w:rPr>
        <w:t>.  Le Yakutat</w:t>
      </w:r>
      <w:r>
        <w:rPr>
          <w:rFonts w:ascii="Arial" w:hAnsi="Arial" w:cs="Times New Roman"/>
        </w:rPr>
        <w:t xml:space="preserve"> aurait été formé plus au sud, et aurait été transporté vers le nord par la faille de Transition.</w:t>
      </w:r>
    </w:p>
    <w:p w:rsidR="00EA32B7" w:rsidRDefault="00EA32B7" w:rsidP="00EA32B7">
      <w:pPr>
        <w:spacing w:line="360" w:lineRule="auto"/>
        <w:jc w:val="both"/>
        <w:rPr>
          <w:rFonts w:ascii="Arial" w:hAnsi="Arial" w:cs="Times New Roman"/>
        </w:rPr>
      </w:pPr>
      <w:r>
        <w:rPr>
          <w:rFonts w:ascii="Arial" w:hAnsi="Arial" w:cs="Times New Roman"/>
        </w:rPr>
        <w:t xml:space="preserve">Les séismes et les volcans se limitent généralement à la sous-division des chaînes côtières du Pacifique de l'Alaska, dans le sud de l'état.  Les montagnes et volcans de cette région sont essentiellement la conséquence de la subduction de la plaque du Pacifique sous la plaque </w:t>
      </w:r>
      <w:r w:rsidRPr="00AB1075">
        <w:rPr>
          <w:rFonts w:ascii="Arial" w:hAnsi="Arial" w:cs="Times New Roman"/>
        </w:rPr>
        <w:t>Nord-Américaine, mais certaines chaînes, comme l'orogène Chugach-St. Elias, sont causé</w:t>
      </w:r>
      <w:r w:rsidR="007B38ED" w:rsidRPr="00AB1075">
        <w:rPr>
          <w:rFonts w:ascii="Arial" w:hAnsi="Arial" w:cs="Times New Roman"/>
        </w:rPr>
        <w:t>e</w:t>
      </w:r>
      <w:r w:rsidRPr="00AB1075">
        <w:rPr>
          <w:rFonts w:ascii="Arial" w:hAnsi="Arial" w:cs="Times New Roman"/>
        </w:rPr>
        <w:t>s</w:t>
      </w:r>
      <w:r>
        <w:rPr>
          <w:rFonts w:ascii="Arial" w:hAnsi="Arial" w:cs="Times New Roman"/>
        </w:rPr>
        <w:t xml:space="preserve"> par la subduction de la microplaque de Yakutat (Christeson et al., 2010) sous la plaque Nord-Américaine.  </w:t>
      </w:r>
    </w:p>
    <w:p w:rsidR="00EA32B7" w:rsidRPr="006047FD" w:rsidRDefault="00EA32B7" w:rsidP="00EA32B7">
      <w:pPr>
        <w:spacing w:line="360" w:lineRule="auto"/>
        <w:jc w:val="both"/>
        <w:rPr>
          <w:rFonts w:ascii="Arial" w:hAnsi="Arial" w:cs="Times New Roman"/>
        </w:rPr>
      </w:pPr>
      <w:r>
        <w:rPr>
          <w:rFonts w:ascii="Arial" w:hAnsi="Arial" w:cs="Times New Roman"/>
        </w:rPr>
        <w:t>Il est important de noter une certaine similarité entre le front de déformation de la zone de Pamplona en Alaska et la fosse de Nankai au Japon (Van Avendonk et al., 2013) : les deux structures montrent une anomalie de vitesse sismique faible et d'importance similaire.  Le fait que le Yakutat n'a pas subi de séismes importants dans les 50 dernières années (Ali et Freed, 2010) n'est donc pas nécessairement gage de sécurité, un séisme de magnitude 8.0 ayant frappé la région en 1899 (Tarr et al., 1912).</w:t>
      </w:r>
    </w:p>
    <w:p w:rsidR="00EA32B7" w:rsidRDefault="00EA32B7" w:rsidP="00EA32B7">
      <w:pPr>
        <w:spacing w:line="360" w:lineRule="auto"/>
        <w:jc w:val="both"/>
        <w:rPr>
          <w:rFonts w:ascii="Arial" w:hAnsi="Arial"/>
          <w:color w:val="00000A"/>
        </w:rPr>
      </w:pPr>
      <w:r>
        <w:rPr>
          <w:rFonts w:ascii="Arial" w:hAnsi="Arial"/>
          <w:color w:val="00000A"/>
        </w:rPr>
        <w:t xml:space="preserve">D'autres failles d'intérêt (figure 3) sont la </w:t>
      </w:r>
      <w:r w:rsidRPr="00AB1075">
        <w:rPr>
          <w:rFonts w:ascii="Arial" w:hAnsi="Arial"/>
        </w:rPr>
        <w:t xml:space="preserve">faille Queen Charlotte, la faille Fairweather, la faille Denali et la faille Castle Mountain. </w:t>
      </w:r>
      <w:r w:rsidR="00773F8C" w:rsidRPr="00AB1075">
        <w:rPr>
          <w:rFonts w:ascii="Arial" w:hAnsi="Arial"/>
        </w:rPr>
        <w:t>Elles sont m</w:t>
      </w:r>
      <w:r w:rsidRPr="00AB1075">
        <w:rPr>
          <w:rFonts w:ascii="Arial" w:hAnsi="Arial"/>
        </w:rPr>
        <w:t>oins</w:t>
      </w:r>
      <w:r w:rsidR="00773F8C" w:rsidRPr="00AB1075">
        <w:rPr>
          <w:rFonts w:ascii="Arial" w:hAnsi="Arial"/>
        </w:rPr>
        <w:t xml:space="preserve"> active</w:t>
      </w:r>
      <w:r w:rsidRPr="00AB1075">
        <w:rPr>
          <w:rFonts w:ascii="Arial" w:hAnsi="Arial"/>
        </w:rPr>
        <w:t>s que la zone de subduction principale, elles ne sont pas pour autant moins importantes, car les trois premières ont déjà subies des séismes de taille important</w:t>
      </w:r>
      <w:r w:rsidR="00AB1075" w:rsidRPr="00AB1075">
        <w:rPr>
          <w:rFonts w:ascii="Arial" w:hAnsi="Arial"/>
        </w:rPr>
        <w:t>e</w:t>
      </w:r>
      <w:r>
        <w:rPr>
          <w:rFonts w:ascii="Arial" w:hAnsi="Arial"/>
          <w:color w:val="00000A"/>
        </w:rPr>
        <w:t xml:space="preserve"> </w:t>
      </w:r>
      <w:r w:rsidR="0063195D">
        <w:rPr>
          <w:rFonts w:ascii="Arial" w:hAnsi="Arial"/>
          <w:color w:val="00000A"/>
        </w:rPr>
        <w:t>(de magnitude</w:t>
      </w:r>
      <w:r w:rsidR="00B41164">
        <w:rPr>
          <w:rFonts w:ascii="Arial" w:hAnsi="Arial"/>
          <w:color w:val="00000A"/>
        </w:rPr>
        <w:t>s</w:t>
      </w:r>
      <w:r w:rsidR="0063195D">
        <w:rPr>
          <w:rFonts w:ascii="Arial" w:hAnsi="Arial"/>
          <w:color w:val="00000A"/>
        </w:rPr>
        <w:t xml:space="preserve"> supérieur</w:t>
      </w:r>
      <w:r w:rsidR="00557D5A">
        <w:rPr>
          <w:rFonts w:ascii="Arial" w:hAnsi="Arial"/>
          <w:color w:val="00000A"/>
        </w:rPr>
        <w:t>e</w:t>
      </w:r>
      <w:r w:rsidR="00B41164">
        <w:rPr>
          <w:rFonts w:ascii="Arial" w:hAnsi="Arial"/>
          <w:color w:val="00000A"/>
        </w:rPr>
        <w:t>s</w:t>
      </w:r>
      <w:r w:rsidR="0063195D">
        <w:rPr>
          <w:rFonts w:ascii="Arial" w:hAnsi="Arial"/>
          <w:color w:val="00000A"/>
        </w:rPr>
        <w:t xml:space="preserve"> à 7.6) </w:t>
      </w:r>
      <w:r>
        <w:rPr>
          <w:rFonts w:ascii="Arial" w:hAnsi="Arial"/>
          <w:color w:val="00000A"/>
        </w:rPr>
        <w:t>par le passé.</w:t>
      </w:r>
    </w:p>
    <w:p w:rsidR="00EA32B7" w:rsidRDefault="00EA32B7" w:rsidP="00EA32B7">
      <w:pPr>
        <w:spacing w:line="360" w:lineRule="auto"/>
        <w:jc w:val="both"/>
        <w:rPr>
          <w:rFonts w:ascii="Arial" w:hAnsi="Arial"/>
          <w:color w:val="00000A"/>
        </w:rPr>
      </w:pPr>
    </w:p>
    <w:p w:rsidR="00EA32B7" w:rsidRDefault="00EA32B7" w:rsidP="00EA32B7">
      <w:pPr>
        <w:spacing w:line="360" w:lineRule="auto"/>
        <w:jc w:val="both"/>
        <w:rPr>
          <w:rFonts w:ascii="Arial" w:hAnsi="Arial"/>
          <w:color w:val="00000A"/>
        </w:rPr>
      </w:pPr>
    </w:p>
    <w:p w:rsidR="00EA32B7" w:rsidRDefault="00AD0F73" w:rsidP="00EA32B7">
      <w:pPr>
        <w:pStyle w:val="Lgende"/>
        <w:suppressLineNumbers/>
        <w:spacing w:before="120" w:after="120"/>
        <w:jc w:val="both"/>
        <w:rPr>
          <w:rFonts w:ascii="Arial" w:hAnsi="Arial"/>
          <w:bCs w:val="0"/>
          <w:color w:val="00000A"/>
        </w:rPr>
      </w:pPr>
      <w:r w:rsidRPr="00AD0F73">
        <w:rPr>
          <w:noProof/>
        </w:rPr>
        <w:lastRenderedPageBreak/>
        <w:pict>
          <v:shape id="Zone de texte 18" o:spid="_x0000_s1028" type="#_x0000_t202" style="position:absolute;left:0;text-align:left;margin-left:270pt;margin-top:31.75pt;width:174.85pt;height:99.1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" stroked="f">
            <v:textbox inset="0,0,0,0">
              <w:txbxContent>
                <w:p w:rsidR="00EA32B7" w:rsidRPr="00EA32B7" w:rsidRDefault="00EA32B7" w:rsidP="00EA32B7">
                  <w:pPr>
                    <w:pStyle w:val="Lgende"/>
                    <w:jc w:val="both"/>
                    <w:rPr>
                      <w:rFonts w:ascii="Arial" w:hAnsi="Arial"/>
                      <w:noProof/>
                      <w:color w:val="auto"/>
                    </w:rPr>
                  </w:pPr>
                  <w:bookmarkStart w:id="8" w:name="_Toc382561267"/>
                  <w:r w:rsidRPr="00EA32B7">
                    <w:rPr>
                      <w:color w:val="auto"/>
                    </w:rPr>
                    <w:t xml:space="preserve">Figure </w:t>
                  </w:r>
                  <w:r w:rsidR="00AD0F73" w:rsidRPr="00EA32B7">
                    <w:rPr>
                      <w:color w:val="auto"/>
                    </w:rPr>
                    <w:fldChar w:fldCharType="begin"/>
                  </w:r>
                  <w:r w:rsidRPr="00EA32B7">
                    <w:rPr>
                      <w:color w:val="auto"/>
                    </w:rPr>
                    <w:instrText xml:space="preserve"> SEQ Figure \* ARABIC </w:instrText>
                  </w:r>
                  <w:r w:rsidR="00AD0F73" w:rsidRPr="00EA32B7">
                    <w:rPr>
                      <w:color w:val="auto"/>
                    </w:rPr>
                    <w:fldChar w:fldCharType="separate"/>
                  </w:r>
                  <w:r w:rsidR="00620B6E">
                    <w:rPr>
                      <w:noProof/>
                      <w:color w:val="auto"/>
                    </w:rPr>
                    <w:t>3</w:t>
                  </w:r>
                  <w:r w:rsidR="00AD0F73" w:rsidRPr="00EA32B7">
                    <w:rPr>
                      <w:color w:val="auto"/>
                    </w:rPr>
                    <w:fldChar w:fldCharType="end"/>
                  </w:r>
                  <w:r w:rsidRPr="00EA32B7">
                    <w:rPr>
                      <w:color w:val="auto"/>
                    </w:rPr>
                    <w:t> : Localisation de failles et de séismes importants dans les environs du séisme de 1964.  Les zones grises indiquent les zones affecté</w:t>
                  </w:r>
                  <w:r w:rsidR="00FB2C3E">
                    <w:rPr>
                      <w:color w:val="auto"/>
                    </w:rPr>
                    <w:t>e</w:t>
                  </w:r>
                  <w:r w:rsidRPr="00EA32B7">
                    <w:rPr>
                      <w:color w:val="auto"/>
                    </w:rPr>
                    <w:t>s par les sé</w:t>
                  </w:r>
                  <w:r w:rsidR="00FB2C3E">
                    <w:rPr>
                      <w:color w:val="auto"/>
                    </w:rPr>
                    <w:t>ismes en question.  La microplaqu</w:t>
                  </w:r>
                  <w:r w:rsidRPr="00EA32B7">
                    <w:rPr>
                      <w:color w:val="auto"/>
                    </w:rPr>
                    <w:t>e de Yakutat est aussi affichée.  Tirée d'Ali et Freed (2010)</w:t>
                  </w:r>
                  <w:bookmarkEnd w:id="8"/>
                </w:p>
              </w:txbxContent>
            </v:textbox>
            <w10:wrap type="square" side="largest"/>
          </v:shape>
        </w:pict>
      </w:r>
      <w:r w:rsidR="00EA32B7" w:rsidRPr="006047FD">
        <w:rPr>
          <w:rFonts w:ascii="Arial" w:hAnsi="Arial"/>
          <w:bCs w:val="0"/>
          <w:noProof/>
          <w:color w:val="00000A"/>
          <w:lang w:eastAsia="fr-CA"/>
        </w:rPr>
        <w:drawing>
          <wp:anchor distT="0" distB="0" distL="0" distR="0" simplePos="0" relativeHeight="251671552" behindDoc="0" locked="0" layoutInCell="1" allowOverlap="1">
            <wp:simplePos x="0" y="0"/>
            <wp:positionH relativeFrom="column">
              <wp:posOffset>-419100</wp:posOffset>
            </wp:positionH>
            <wp:positionV relativeFrom="paragraph">
              <wp:posOffset>-57150</wp:posOffset>
            </wp:positionV>
            <wp:extent cx="4200525" cy="3448050"/>
            <wp:effectExtent l="19050" t="0" r="9525" b="0"/>
            <wp:wrapSquare wrapText="larges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200525" cy="3448050"/>
                    </a:xfrm>
                    <a:prstGeom prst="rect">
                      <a:avLst/>
                    </a:prstGeom>
                    <a:solidFill>
                      <a:srgbClr val="FFFFFF"/>
                    </a:solidFill>
                    <a:ln w="9525">
                      <a:noFill/>
                      <a:miter lim="800000"/>
                      <a:headEnd/>
                      <a:tailEnd/>
                    </a:ln>
                  </pic:spPr>
                </pic:pic>
              </a:graphicData>
            </a:graphic>
          </wp:anchor>
        </w:drawing>
      </w:r>
    </w:p>
    <w:p w:rsidR="00EA32B7" w:rsidRDefault="00EA32B7" w:rsidP="00EA32B7"/>
    <w:p w:rsidR="00EA32B7" w:rsidRDefault="00EA32B7" w:rsidP="00EA32B7"/>
    <w:p w:rsidR="00EA32B7" w:rsidRPr="00EA32B7" w:rsidRDefault="00EA32B7" w:rsidP="00EA32B7"/>
    <w:p w:rsidR="00EA32B7" w:rsidRDefault="00EA32B7" w:rsidP="00EA32B7">
      <w:pPr>
        <w:spacing w:line="360" w:lineRule="auto"/>
        <w:jc w:val="both"/>
      </w:pPr>
    </w:p>
    <w:p w:rsidR="00EA32B7" w:rsidRPr="006047FD" w:rsidRDefault="00EA32B7" w:rsidP="00EA32B7"/>
    <w:p w:rsidR="00EA32B7" w:rsidRDefault="00EA32B7" w:rsidP="00EA32B7">
      <w:pPr>
        <w:pStyle w:val="Titre1"/>
        <w:spacing w:line="360" w:lineRule="auto"/>
        <w:rPr>
          <w:rFonts w:ascii="Arial" w:hAnsi="Arial" w:cs="Arial"/>
          <w:color w:val="auto"/>
        </w:rPr>
      </w:pPr>
    </w:p>
    <w:p w:rsidR="00EA32B7" w:rsidRPr="006047FD" w:rsidRDefault="00EA32B7" w:rsidP="00EA32B7">
      <w:pPr>
        <w:pStyle w:val="Titre1"/>
        <w:spacing w:before="240" w:line="360" w:lineRule="auto"/>
        <w:rPr>
          <w:rFonts w:ascii="Arial" w:hAnsi="Arial" w:cs="Arial"/>
          <w:color w:val="auto"/>
        </w:rPr>
      </w:pPr>
      <w:bookmarkStart w:id="9" w:name="_Toc382388315"/>
      <w:bookmarkStart w:id="10" w:name="_Toc382561259"/>
      <w:r w:rsidRPr="006047FD">
        <w:rPr>
          <w:rFonts w:ascii="Arial" w:hAnsi="Arial" w:cs="Arial"/>
          <w:color w:val="auto"/>
        </w:rPr>
        <w:t>Séisme du 27 mars 1964</w:t>
      </w:r>
      <w:bookmarkEnd w:id="9"/>
      <w:bookmarkEnd w:id="10"/>
    </w:p>
    <w:p w:rsidR="00EA32B7" w:rsidRPr="006047FD" w:rsidRDefault="00EA32B7" w:rsidP="00EA32B7">
      <w:pPr>
        <w:pStyle w:val="Titre2"/>
        <w:spacing w:line="360" w:lineRule="auto"/>
        <w:jc w:val="both"/>
        <w:rPr>
          <w:rFonts w:ascii="Arial" w:hAnsi="Arial" w:cs="Arial"/>
          <w:color w:val="auto"/>
          <w:lang w:val="fr-FR"/>
        </w:rPr>
      </w:pPr>
      <w:bookmarkStart w:id="11" w:name="_Toc382388316"/>
      <w:bookmarkStart w:id="12" w:name="_Toc382561260"/>
      <w:r w:rsidRPr="006047FD">
        <w:rPr>
          <w:rFonts w:ascii="Arial" w:hAnsi="Arial" w:cs="Arial"/>
          <w:color w:val="auto"/>
          <w:lang w:val="fr-FR"/>
        </w:rPr>
        <w:t>Description du séisme</w:t>
      </w:r>
      <w:bookmarkEnd w:id="11"/>
      <w:bookmarkEnd w:id="12"/>
    </w:p>
    <w:p w:rsidR="00EA32B7" w:rsidRPr="00557D5A" w:rsidRDefault="00EA32B7" w:rsidP="00EA32B7">
      <w:pPr>
        <w:spacing w:line="360" w:lineRule="auto"/>
        <w:jc w:val="both"/>
        <w:rPr>
          <w:rFonts w:ascii="Arial" w:hAnsi="Arial" w:cs="Arial"/>
          <w:lang w:val="fr-FR"/>
        </w:rPr>
      </w:pPr>
      <w:r w:rsidRPr="00735C1D">
        <w:rPr>
          <w:rFonts w:ascii="Arial" w:hAnsi="Arial" w:cs="Arial"/>
          <w:lang w:val="fr-FR"/>
        </w:rPr>
        <w:t>La poussée, générée par le mouvement de la plaque Pacifique vers le</w:t>
      </w:r>
      <w:r>
        <w:rPr>
          <w:rFonts w:ascii="Arial" w:hAnsi="Arial" w:cs="Arial"/>
          <w:lang w:val="fr-FR"/>
        </w:rPr>
        <w:t xml:space="preserve"> nord-ouest à </w:t>
      </w:r>
      <w:r w:rsidRPr="00735C1D">
        <w:rPr>
          <w:rFonts w:ascii="Arial" w:hAnsi="Arial" w:cs="Arial"/>
          <w:lang w:val="fr-FR"/>
        </w:rPr>
        <w:t xml:space="preserve">un taux </w:t>
      </w:r>
      <w:r>
        <w:rPr>
          <w:rFonts w:ascii="Arial" w:hAnsi="Arial" w:cs="Arial"/>
          <w:lang w:val="fr-FR"/>
        </w:rPr>
        <w:t>annuel de 5 à 7 cm</w:t>
      </w:r>
      <w:r w:rsidRPr="00735C1D">
        <w:rPr>
          <w:rFonts w:ascii="Arial" w:hAnsi="Arial" w:cs="Arial"/>
          <w:lang w:val="fr-FR"/>
        </w:rPr>
        <w:t xml:space="preserve">, produit </w:t>
      </w:r>
      <w:r>
        <w:rPr>
          <w:rFonts w:ascii="Arial" w:hAnsi="Arial" w:cs="Arial"/>
          <w:lang w:val="fr-FR"/>
        </w:rPr>
        <w:t>une accumulation de</w:t>
      </w:r>
      <w:r w:rsidRPr="00735C1D">
        <w:rPr>
          <w:rFonts w:ascii="Arial" w:hAnsi="Arial" w:cs="Arial"/>
          <w:lang w:val="fr-FR"/>
        </w:rPr>
        <w:t xml:space="preserve"> compression dans le secteur nord de la zone de subduction. </w:t>
      </w:r>
      <w:r>
        <w:rPr>
          <w:rFonts w:ascii="Arial" w:hAnsi="Arial" w:cs="Arial"/>
          <w:lang w:val="fr-FR"/>
        </w:rPr>
        <w:t>Au cour</w:t>
      </w:r>
      <w:r w:rsidRPr="00735C1D">
        <w:rPr>
          <w:rFonts w:ascii="Arial" w:hAnsi="Arial" w:cs="Arial"/>
          <w:lang w:val="fr-FR"/>
        </w:rPr>
        <w:t xml:space="preserve">t du temps, </w:t>
      </w:r>
      <w:r>
        <w:rPr>
          <w:rFonts w:ascii="Arial" w:hAnsi="Arial" w:cs="Arial"/>
          <w:lang w:val="fr-FR"/>
        </w:rPr>
        <w:t>cette accumulation des tensions</w:t>
      </w:r>
      <w:r w:rsidRPr="00735C1D">
        <w:rPr>
          <w:rFonts w:ascii="Arial" w:hAnsi="Arial" w:cs="Arial"/>
          <w:lang w:val="fr-FR"/>
        </w:rPr>
        <w:t xml:space="preserve"> </w:t>
      </w:r>
      <w:r>
        <w:rPr>
          <w:rFonts w:ascii="Arial" w:hAnsi="Arial" w:cs="Arial"/>
          <w:lang w:val="fr-FR"/>
        </w:rPr>
        <w:t>a causé</w:t>
      </w:r>
      <w:r w:rsidRPr="00735C1D">
        <w:rPr>
          <w:rFonts w:ascii="Arial" w:hAnsi="Arial" w:cs="Arial"/>
          <w:lang w:val="fr-FR"/>
        </w:rPr>
        <w:t xml:space="preserve"> </w:t>
      </w:r>
      <w:r>
        <w:rPr>
          <w:rFonts w:ascii="Arial" w:hAnsi="Arial" w:cs="Arial"/>
          <w:lang w:val="fr-FR"/>
        </w:rPr>
        <w:t>un</w:t>
      </w:r>
      <w:r w:rsidRPr="00735C1D">
        <w:rPr>
          <w:rFonts w:ascii="Arial" w:hAnsi="Arial" w:cs="Arial"/>
          <w:lang w:val="fr-FR"/>
        </w:rPr>
        <w:t xml:space="preserve"> soulèvement élastique </w:t>
      </w:r>
      <w:r>
        <w:rPr>
          <w:rFonts w:ascii="Arial" w:hAnsi="Arial" w:cs="Arial"/>
          <w:lang w:val="fr-FR"/>
        </w:rPr>
        <w:t>à</w:t>
      </w:r>
      <w:r w:rsidRPr="00735C1D">
        <w:rPr>
          <w:rFonts w:ascii="Arial" w:hAnsi="Arial" w:cs="Arial"/>
          <w:lang w:val="fr-FR"/>
        </w:rPr>
        <w:t xml:space="preserve"> certains endroits ainsi que </w:t>
      </w:r>
      <w:r>
        <w:rPr>
          <w:rFonts w:ascii="Arial" w:hAnsi="Arial" w:cs="Arial"/>
          <w:lang w:val="fr-FR"/>
        </w:rPr>
        <w:t>de</w:t>
      </w:r>
      <w:r w:rsidRPr="00735C1D">
        <w:rPr>
          <w:rFonts w:ascii="Arial" w:hAnsi="Arial" w:cs="Arial"/>
          <w:lang w:val="fr-FR"/>
        </w:rPr>
        <w:t xml:space="preserve"> </w:t>
      </w:r>
      <w:r>
        <w:rPr>
          <w:rFonts w:ascii="Arial" w:hAnsi="Arial" w:cs="Arial"/>
          <w:lang w:val="fr-FR"/>
        </w:rPr>
        <w:t xml:space="preserve">la </w:t>
      </w:r>
      <w:r w:rsidRPr="00735C1D">
        <w:rPr>
          <w:rFonts w:ascii="Arial" w:hAnsi="Arial" w:cs="Arial"/>
          <w:lang w:val="fr-FR"/>
        </w:rPr>
        <w:t>subsidence (ASIC</w:t>
      </w:r>
      <w:r>
        <w:rPr>
          <w:rFonts w:ascii="Arial" w:hAnsi="Arial" w:cs="Arial"/>
          <w:lang w:val="fr-FR"/>
        </w:rPr>
        <w:t>, 2002</w:t>
      </w:r>
      <w:r w:rsidRPr="00735C1D">
        <w:rPr>
          <w:rFonts w:ascii="Arial" w:hAnsi="Arial" w:cs="Arial"/>
          <w:lang w:val="fr-FR"/>
        </w:rPr>
        <w:t xml:space="preserve">). Cette évolution continue </w:t>
      </w:r>
      <w:r w:rsidRPr="00557D5A">
        <w:rPr>
          <w:rFonts w:ascii="Arial" w:hAnsi="Arial" w:cs="Arial"/>
          <w:lang w:val="fr-FR"/>
        </w:rPr>
        <w:t xml:space="preserve">jusqu’à ce que la compression dépasse la résistance des roches à la déformation, et la tension </w:t>
      </w:r>
      <w:r w:rsidR="00773F8C" w:rsidRPr="00557D5A">
        <w:rPr>
          <w:rFonts w:ascii="Arial" w:hAnsi="Arial" w:cs="Arial"/>
          <w:lang w:val="fr-FR"/>
        </w:rPr>
        <w:t>est</w:t>
      </w:r>
      <w:r w:rsidRPr="00557D5A">
        <w:rPr>
          <w:rFonts w:ascii="Arial" w:hAnsi="Arial" w:cs="Arial"/>
          <w:lang w:val="fr-FR"/>
        </w:rPr>
        <w:t xml:space="preserve"> tout à coup déchargée </w:t>
      </w:r>
      <w:r w:rsidR="00773F8C" w:rsidRPr="00557D5A">
        <w:rPr>
          <w:rFonts w:ascii="Arial" w:hAnsi="Arial" w:cs="Arial"/>
          <w:lang w:val="fr-FR"/>
        </w:rPr>
        <w:t>en générant</w:t>
      </w:r>
      <w:r w:rsidRPr="00557D5A">
        <w:rPr>
          <w:rFonts w:ascii="Arial" w:hAnsi="Arial" w:cs="Arial"/>
          <w:lang w:val="fr-FR"/>
        </w:rPr>
        <w:t xml:space="preserve"> un tremblement de terre.</w:t>
      </w:r>
    </w:p>
    <w:p w:rsidR="00EA32B7" w:rsidRDefault="00EA32B7" w:rsidP="00EA32B7">
      <w:pPr>
        <w:spacing w:line="360" w:lineRule="auto"/>
        <w:jc w:val="both"/>
        <w:rPr>
          <w:rFonts w:ascii="Arial" w:hAnsi="Arial" w:cs="Arial"/>
          <w:lang w:val="fr-FR"/>
        </w:rPr>
      </w:pPr>
      <w:r w:rsidRPr="00557D5A">
        <w:rPr>
          <w:rFonts w:ascii="Arial" w:hAnsi="Arial" w:cs="Arial"/>
          <w:lang w:val="fr-FR"/>
        </w:rPr>
        <w:t>Vendredi Saint, le 27 Mars 1964 à 17h36, heure locale de cette région, la terre a commencé à trembler dans la partie nord de Prince William Sound (figure 4). La secousse a continué pendant  trois minutes (USGS, 2012). L’hypocentre du tremblement s’est situé à une profondeur de 25 km dans la zone des failles liée</w:t>
      </w:r>
      <w:r w:rsidR="00773F8C" w:rsidRPr="00557D5A">
        <w:rPr>
          <w:rFonts w:ascii="Arial" w:hAnsi="Arial" w:cs="Arial"/>
          <w:lang w:val="fr-FR"/>
        </w:rPr>
        <w:t>s</w:t>
      </w:r>
      <w:r w:rsidRPr="00557D5A">
        <w:rPr>
          <w:rFonts w:ascii="Arial" w:hAnsi="Arial" w:cs="Arial"/>
          <w:lang w:val="fr-FR"/>
        </w:rPr>
        <w:t xml:space="preserve"> au chevauchement de la plaque Nord-América</w:t>
      </w:r>
      <w:r w:rsidR="00773F8C" w:rsidRPr="00557D5A">
        <w:rPr>
          <w:rFonts w:ascii="Arial" w:hAnsi="Arial" w:cs="Arial"/>
          <w:lang w:val="fr-FR"/>
        </w:rPr>
        <w:t>ine sur la plaque Pacifique subduite</w:t>
      </w:r>
      <w:r w:rsidRPr="00557D5A">
        <w:rPr>
          <w:rFonts w:ascii="Arial" w:hAnsi="Arial" w:cs="Arial"/>
          <w:lang w:val="fr-FR"/>
        </w:rPr>
        <w:t xml:space="preserve">. Selon Press et Jackson (1965), la faille principale de 650 km a été presque verticale et s’étend de 15 km sous la surface de la terre jusqu’à 200 km. Ce sont la </w:t>
      </w:r>
      <w:r w:rsidR="00773F8C" w:rsidRPr="00557D5A">
        <w:rPr>
          <w:rFonts w:ascii="Arial" w:hAnsi="Arial" w:cs="Arial"/>
          <w:lang w:val="fr-FR"/>
        </w:rPr>
        <w:t>dimension</w:t>
      </w:r>
      <w:r w:rsidRPr="00557D5A">
        <w:rPr>
          <w:rFonts w:ascii="Arial" w:hAnsi="Arial" w:cs="Arial"/>
          <w:lang w:val="fr-FR"/>
        </w:rPr>
        <w:t xml:space="preserve"> énorme de la</w:t>
      </w:r>
      <w:r w:rsidRPr="00735C1D">
        <w:rPr>
          <w:rFonts w:ascii="Arial" w:hAnsi="Arial" w:cs="Arial"/>
          <w:lang w:val="fr-FR"/>
        </w:rPr>
        <w:t xml:space="preserve"> </w:t>
      </w:r>
      <w:r w:rsidRPr="00735C1D">
        <w:rPr>
          <w:rFonts w:ascii="Arial" w:hAnsi="Arial" w:cs="Arial"/>
          <w:lang w:val="fr-FR"/>
        </w:rPr>
        <w:lastRenderedPageBreak/>
        <w:t xml:space="preserve">faille et la faible profondeur de </w:t>
      </w:r>
      <w:r w:rsidRPr="00557D5A">
        <w:rPr>
          <w:rFonts w:ascii="Arial" w:hAnsi="Arial" w:cs="Arial"/>
          <w:lang w:val="fr-FR"/>
        </w:rPr>
        <w:t xml:space="preserve">l’hypocentre qui </w:t>
      </w:r>
      <w:r w:rsidR="00773F8C" w:rsidRPr="00557D5A">
        <w:rPr>
          <w:rFonts w:ascii="Arial" w:hAnsi="Arial" w:cs="Arial"/>
          <w:lang w:val="fr-FR"/>
        </w:rPr>
        <w:t>expliquent</w:t>
      </w:r>
      <w:r w:rsidRPr="00557D5A">
        <w:rPr>
          <w:rFonts w:ascii="Arial" w:hAnsi="Arial" w:cs="Arial"/>
          <w:lang w:val="fr-FR"/>
        </w:rPr>
        <w:t xml:space="preserve"> la grande quantité</w:t>
      </w:r>
      <w:r w:rsidRPr="00735C1D">
        <w:rPr>
          <w:rFonts w:ascii="Arial" w:hAnsi="Arial" w:cs="Arial"/>
          <w:lang w:val="fr-FR"/>
        </w:rPr>
        <w:t xml:space="preserve"> d’énergie libérée dans ce tremblement. </w:t>
      </w:r>
    </w:p>
    <w:p w:rsidR="00FB2C3E" w:rsidRDefault="00EA32B7" w:rsidP="00FB2C3E">
      <w:pPr>
        <w:keepNext/>
        <w:spacing w:line="360" w:lineRule="auto"/>
        <w:jc w:val="both"/>
      </w:pPr>
      <w:r>
        <w:rPr>
          <w:rFonts w:ascii="Arial" w:hAnsi="Arial" w:cs="Arial"/>
          <w:noProof/>
          <w:lang w:eastAsia="fr-CA"/>
        </w:rPr>
        <w:drawing>
          <wp:inline distT="0" distB="0" distL="0" distR="0">
            <wp:extent cx="5343525" cy="4104633"/>
            <wp:effectExtent l="0" t="0" r="0" b="0"/>
            <wp:docPr id="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é_tremblement.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3525" cy="4104633"/>
                    </a:xfrm>
                    <a:prstGeom prst="rect">
                      <a:avLst/>
                    </a:prstGeom>
                  </pic:spPr>
                </pic:pic>
              </a:graphicData>
            </a:graphic>
          </wp:inline>
        </w:drawing>
      </w:r>
    </w:p>
    <w:p w:rsidR="00EA32B7" w:rsidRPr="00FB2C3E" w:rsidRDefault="00FB2C3E" w:rsidP="00FB2C3E">
      <w:pPr>
        <w:pStyle w:val="Lgende"/>
        <w:jc w:val="center"/>
        <w:rPr>
          <w:color w:val="auto"/>
        </w:rPr>
      </w:pPr>
      <w:bookmarkStart w:id="13" w:name="_Toc382561268"/>
      <w:r w:rsidRPr="00FB2C3E">
        <w:rPr>
          <w:color w:val="auto"/>
        </w:rPr>
        <w:t xml:space="preserve">Figure </w:t>
      </w:r>
      <w:r w:rsidR="00AD0F73" w:rsidRPr="00FB2C3E">
        <w:rPr>
          <w:color w:val="auto"/>
        </w:rPr>
        <w:fldChar w:fldCharType="begin"/>
      </w:r>
      <w:r w:rsidRPr="00FB2C3E">
        <w:rPr>
          <w:color w:val="auto"/>
        </w:rPr>
        <w:instrText xml:space="preserve"> SEQ Figure \* ARABIC </w:instrText>
      </w:r>
      <w:r w:rsidR="00AD0F73" w:rsidRPr="00FB2C3E">
        <w:rPr>
          <w:color w:val="auto"/>
        </w:rPr>
        <w:fldChar w:fldCharType="separate"/>
      </w:r>
      <w:r w:rsidR="00620B6E">
        <w:rPr>
          <w:noProof/>
          <w:color w:val="auto"/>
        </w:rPr>
        <w:t>4</w:t>
      </w:r>
      <w:r w:rsidR="00AD0F73" w:rsidRPr="00FB2C3E">
        <w:rPr>
          <w:color w:val="auto"/>
        </w:rPr>
        <w:fldChar w:fldCharType="end"/>
      </w:r>
      <w:r w:rsidRPr="00FB2C3E">
        <w:rPr>
          <w:color w:val="auto"/>
        </w:rPr>
        <w:t xml:space="preserve"> : L’intensité ressentie du tremblement de terre diminue en s’éloignant de l’épicentre (X étant une intensité de 10 sur l’échelle de Mercalli) (USGS, 2012)</w:t>
      </w:r>
      <w:bookmarkEnd w:id="13"/>
    </w:p>
    <w:p w:rsidR="00EA32B7" w:rsidRDefault="00EA32B7" w:rsidP="00EA32B7">
      <w:pPr>
        <w:spacing w:line="360" w:lineRule="auto"/>
        <w:jc w:val="both"/>
        <w:rPr>
          <w:rFonts w:ascii="Arial" w:hAnsi="Arial" w:cs="Arial"/>
          <w:lang w:val="fr-FR"/>
        </w:rPr>
      </w:pPr>
      <w:r w:rsidRPr="00557D5A">
        <w:rPr>
          <w:rFonts w:ascii="Arial" w:hAnsi="Arial" w:cs="Arial"/>
          <w:lang w:val="fr-FR"/>
        </w:rPr>
        <w:t>Les mois suivants le tremblement principal ont été marqué par une multitude de répliques située</w:t>
      </w:r>
      <w:r w:rsidR="00773F8C" w:rsidRPr="00557D5A">
        <w:rPr>
          <w:rFonts w:ascii="Arial" w:hAnsi="Arial" w:cs="Arial"/>
          <w:lang w:val="fr-FR"/>
        </w:rPr>
        <w:t>s dans le</w:t>
      </w:r>
      <w:r w:rsidRPr="00557D5A">
        <w:rPr>
          <w:rFonts w:ascii="Arial" w:hAnsi="Arial" w:cs="Arial"/>
          <w:lang w:val="fr-FR"/>
        </w:rPr>
        <w:t xml:space="preserve"> même </w:t>
      </w:r>
      <w:r w:rsidR="00773F8C" w:rsidRPr="00557D5A">
        <w:rPr>
          <w:rFonts w:ascii="Arial" w:hAnsi="Arial" w:cs="Arial"/>
          <w:lang w:val="fr-FR"/>
        </w:rPr>
        <w:t xml:space="preserve">plan de </w:t>
      </w:r>
      <w:r w:rsidRPr="00557D5A">
        <w:rPr>
          <w:rFonts w:ascii="Arial" w:hAnsi="Arial" w:cs="Arial"/>
          <w:lang w:val="fr-FR"/>
        </w:rPr>
        <w:t>faille. Le premier jour, 11 répliques d’une magnitude plus de 6 ont été enregistré</w:t>
      </w:r>
      <w:r w:rsidR="00773F8C" w:rsidRPr="00557D5A">
        <w:rPr>
          <w:rFonts w:ascii="Arial" w:hAnsi="Arial" w:cs="Arial"/>
          <w:lang w:val="fr-FR"/>
        </w:rPr>
        <w:t>e</w:t>
      </w:r>
      <w:r w:rsidRPr="00557D5A">
        <w:rPr>
          <w:rFonts w:ascii="Arial" w:hAnsi="Arial" w:cs="Arial"/>
          <w:lang w:val="fr-FR"/>
        </w:rPr>
        <w:t xml:space="preserve">s, et ensuite, 9 de plus dans les trois semaines suivantes. </w:t>
      </w:r>
      <w:r w:rsidR="00773F8C" w:rsidRPr="00557D5A">
        <w:rPr>
          <w:rFonts w:ascii="Arial" w:hAnsi="Arial" w:cs="Arial"/>
          <w:lang w:val="fr-FR"/>
        </w:rPr>
        <w:t>Au total</w:t>
      </w:r>
      <w:r w:rsidRPr="00557D5A">
        <w:rPr>
          <w:rFonts w:ascii="Arial" w:hAnsi="Arial" w:cs="Arial"/>
          <w:lang w:val="fr-FR"/>
        </w:rPr>
        <w:t xml:space="preserve">, 12 000 répliques d’une magnitude variable sont enregistrées. La moitié de toute l’énergie a été libérée le premier jour et le tremblement principal en soi </w:t>
      </w:r>
      <w:r w:rsidR="00773F8C" w:rsidRPr="00557D5A">
        <w:rPr>
          <w:rFonts w:ascii="Arial" w:hAnsi="Arial" w:cs="Arial"/>
          <w:lang w:val="fr-FR"/>
        </w:rPr>
        <w:t>en couvre le quart (Press and Jackson, 1965</w:t>
      </w:r>
      <w:r w:rsidRPr="00557D5A">
        <w:rPr>
          <w:rFonts w:ascii="Arial" w:hAnsi="Arial" w:cs="Arial"/>
          <w:lang w:val="fr-FR"/>
        </w:rPr>
        <w:t>)</w:t>
      </w:r>
      <w:r w:rsidR="00773F8C" w:rsidRPr="00557D5A">
        <w:rPr>
          <w:rFonts w:ascii="Arial" w:hAnsi="Arial" w:cs="Arial"/>
          <w:lang w:val="fr-FR"/>
        </w:rPr>
        <w:t>.</w:t>
      </w:r>
      <w:r w:rsidRPr="00557D5A">
        <w:rPr>
          <w:rFonts w:ascii="Arial" w:hAnsi="Arial" w:cs="Arial"/>
          <w:lang w:val="fr-FR"/>
        </w:rPr>
        <w:t xml:space="preserve"> Toutefois, l’énergie libéré</w:t>
      </w:r>
      <w:r w:rsidR="00773F8C" w:rsidRPr="00557D5A">
        <w:rPr>
          <w:rFonts w:ascii="Arial" w:hAnsi="Arial" w:cs="Arial"/>
          <w:lang w:val="fr-FR"/>
        </w:rPr>
        <w:t>e dans le tremblement principal</w:t>
      </w:r>
      <w:r w:rsidRPr="00557D5A">
        <w:rPr>
          <w:rFonts w:ascii="Arial" w:hAnsi="Arial" w:cs="Arial"/>
          <w:lang w:val="fr-FR"/>
        </w:rPr>
        <w:t xml:space="preserve"> a été tellement grand</w:t>
      </w:r>
      <w:r w:rsidR="00773F8C" w:rsidRPr="00557D5A">
        <w:rPr>
          <w:rFonts w:ascii="Arial" w:hAnsi="Arial" w:cs="Arial"/>
          <w:lang w:val="fr-FR"/>
        </w:rPr>
        <w:t>e</w:t>
      </w:r>
      <w:r w:rsidRPr="00557D5A">
        <w:rPr>
          <w:rFonts w:ascii="Arial" w:hAnsi="Arial" w:cs="Arial"/>
          <w:lang w:val="fr-FR"/>
        </w:rPr>
        <w:t xml:space="preserve"> que la secousse </w:t>
      </w:r>
      <w:r w:rsidR="00773F8C" w:rsidRPr="00557D5A">
        <w:rPr>
          <w:rFonts w:ascii="Arial" w:hAnsi="Arial" w:cs="Arial"/>
          <w:lang w:val="fr-FR"/>
        </w:rPr>
        <w:t xml:space="preserve">a été </w:t>
      </w:r>
      <w:r w:rsidRPr="00557D5A">
        <w:rPr>
          <w:rFonts w:ascii="Arial" w:hAnsi="Arial" w:cs="Arial"/>
          <w:lang w:val="fr-FR"/>
        </w:rPr>
        <w:t>ressentie partout dans le monde pendant p</w:t>
      </w:r>
      <w:r w:rsidR="00773F8C" w:rsidRPr="00557D5A">
        <w:rPr>
          <w:rFonts w:ascii="Arial" w:hAnsi="Arial" w:cs="Arial"/>
          <w:lang w:val="fr-FR"/>
        </w:rPr>
        <w:t>lusieurs semaines et un déplacement vertical</w:t>
      </w:r>
      <w:r w:rsidRPr="00557D5A">
        <w:rPr>
          <w:rFonts w:ascii="Arial" w:hAnsi="Arial" w:cs="Arial"/>
          <w:lang w:val="fr-FR"/>
        </w:rPr>
        <w:t xml:space="preserve"> centimétrique</w:t>
      </w:r>
      <w:r>
        <w:rPr>
          <w:rFonts w:ascii="Arial" w:hAnsi="Arial" w:cs="Arial"/>
          <w:lang w:val="fr-FR"/>
        </w:rPr>
        <w:t xml:space="preserve"> a été enregistré jusqu’au Texas et même en Floride (ASIC, 2002). </w:t>
      </w:r>
    </w:p>
    <w:p w:rsidR="00EA32B7" w:rsidRPr="006047FD" w:rsidRDefault="00EA32B7" w:rsidP="00EA32B7">
      <w:pPr>
        <w:pStyle w:val="Titre2"/>
        <w:spacing w:line="360" w:lineRule="auto"/>
        <w:rPr>
          <w:rFonts w:ascii="Arial" w:hAnsi="Arial" w:cs="Arial"/>
          <w:color w:val="auto"/>
          <w:lang w:val="fr-FR"/>
        </w:rPr>
      </w:pPr>
      <w:bookmarkStart w:id="14" w:name="_Toc382388317"/>
      <w:bookmarkStart w:id="15" w:name="_Toc382561261"/>
      <w:r w:rsidRPr="006047FD">
        <w:rPr>
          <w:rFonts w:ascii="Arial" w:hAnsi="Arial" w:cs="Arial"/>
          <w:color w:val="auto"/>
          <w:lang w:val="fr-FR"/>
        </w:rPr>
        <w:lastRenderedPageBreak/>
        <w:t>Les effets de la secousse</w:t>
      </w:r>
      <w:bookmarkEnd w:id="14"/>
      <w:bookmarkEnd w:id="15"/>
    </w:p>
    <w:p w:rsidR="00EA32B7" w:rsidRDefault="00EA32B7" w:rsidP="00EA32B7">
      <w:pPr>
        <w:spacing w:line="360" w:lineRule="auto"/>
        <w:jc w:val="both"/>
        <w:rPr>
          <w:rFonts w:ascii="Arial" w:hAnsi="Arial" w:cs="Arial"/>
          <w:lang w:val="fr-FR"/>
        </w:rPr>
      </w:pPr>
      <w:r w:rsidRPr="00735C1D">
        <w:rPr>
          <w:rFonts w:ascii="Arial" w:hAnsi="Arial" w:cs="Arial"/>
          <w:lang w:val="fr-FR"/>
        </w:rPr>
        <w:t>La zone de déformation en surface s’</w:t>
      </w:r>
      <w:r>
        <w:rPr>
          <w:rFonts w:ascii="Arial" w:hAnsi="Arial" w:cs="Arial"/>
          <w:lang w:val="fr-FR"/>
        </w:rPr>
        <w:t>est étendue</w:t>
      </w:r>
      <w:r w:rsidRPr="00735C1D">
        <w:rPr>
          <w:rFonts w:ascii="Arial" w:hAnsi="Arial" w:cs="Arial"/>
          <w:lang w:val="fr-FR"/>
        </w:rPr>
        <w:t xml:space="preserve"> de 800 km de l’épicentre vers le sud-ouest, parallèle</w:t>
      </w:r>
      <w:r>
        <w:rPr>
          <w:rFonts w:ascii="Arial" w:hAnsi="Arial" w:cs="Arial"/>
          <w:lang w:val="fr-FR"/>
        </w:rPr>
        <w:t>ment</w:t>
      </w:r>
      <w:r w:rsidRPr="00735C1D">
        <w:rPr>
          <w:rFonts w:ascii="Arial" w:hAnsi="Arial" w:cs="Arial"/>
          <w:lang w:val="fr-FR"/>
        </w:rPr>
        <w:t xml:space="preserve"> </w:t>
      </w:r>
      <w:r w:rsidRPr="00557D5A">
        <w:rPr>
          <w:rFonts w:ascii="Arial" w:hAnsi="Arial" w:cs="Arial"/>
          <w:lang w:val="fr-FR"/>
        </w:rPr>
        <w:t xml:space="preserve">à la fosse Aléoutienne et la côte de l’Alaska (Plafker, 1965). Le mouvement vertical soudain le long de la faille principale a résulté d’un soulèvement maximal à l’Île Montague atteignant 11,5 m par rapport au niveau moyen de la mer dans la partie sud de l’île, </w:t>
      </w:r>
      <w:r w:rsidR="00773F8C" w:rsidRPr="00557D5A">
        <w:rPr>
          <w:rFonts w:ascii="Arial" w:hAnsi="Arial" w:cs="Arial"/>
          <w:lang w:val="fr-FR"/>
        </w:rPr>
        <w:t>et un aff</w:t>
      </w:r>
      <w:r w:rsidRPr="00557D5A">
        <w:rPr>
          <w:rFonts w:ascii="Arial" w:hAnsi="Arial" w:cs="Arial"/>
          <w:lang w:val="fr-FR"/>
        </w:rPr>
        <w:t>aissement maximal de 2,3 m à Portage (figure 1) (USGS, 2012). La ligne de changement, où le dépl</w:t>
      </w:r>
      <w:r w:rsidRPr="00735C1D">
        <w:rPr>
          <w:rFonts w:ascii="Arial" w:hAnsi="Arial" w:cs="Arial"/>
          <w:lang w:val="fr-FR"/>
        </w:rPr>
        <w:t xml:space="preserve">acement vertical est nul, s’est étendue de l’épicentre dans Prince William Sound </w:t>
      </w:r>
      <w:r>
        <w:rPr>
          <w:rFonts w:ascii="Arial" w:hAnsi="Arial" w:cs="Arial"/>
          <w:lang w:val="fr-FR"/>
        </w:rPr>
        <w:t>à</w:t>
      </w:r>
      <w:r w:rsidRPr="00735C1D">
        <w:rPr>
          <w:rFonts w:ascii="Arial" w:hAnsi="Arial" w:cs="Arial"/>
          <w:lang w:val="fr-FR"/>
        </w:rPr>
        <w:t xml:space="preserve"> la côt</w:t>
      </w:r>
      <w:r>
        <w:rPr>
          <w:rFonts w:ascii="Arial" w:hAnsi="Arial" w:cs="Arial"/>
          <w:lang w:val="fr-FR"/>
        </w:rPr>
        <w:t>e</w:t>
      </w:r>
      <w:r w:rsidRPr="00735C1D">
        <w:rPr>
          <w:rFonts w:ascii="Arial" w:hAnsi="Arial" w:cs="Arial"/>
          <w:lang w:val="fr-FR"/>
        </w:rPr>
        <w:t xml:space="preserve"> sud-est de l’Île de Kodiak. De plus, la région de l’Île de Latouche a été déplacée </w:t>
      </w:r>
      <w:r>
        <w:rPr>
          <w:rFonts w:ascii="Arial" w:hAnsi="Arial" w:cs="Arial"/>
          <w:lang w:val="fr-FR"/>
        </w:rPr>
        <w:t>de</w:t>
      </w:r>
      <w:r w:rsidRPr="00735C1D">
        <w:rPr>
          <w:rFonts w:ascii="Arial" w:hAnsi="Arial" w:cs="Arial"/>
          <w:lang w:val="fr-FR"/>
        </w:rPr>
        <w:t xml:space="preserve"> 18 m vers le sud-est (ASIC</w:t>
      </w:r>
      <w:r>
        <w:rPr>
          <w:rFonts w:ascii="Arial" w:hAnsi="Arial" w:cs="Arial"/>
          <w:lang w:val="fr-FR"/>
        </w:rPr>
        <w:t>, 2002</w:t>
      </w:r>
      <w:r w:rsidRPr="00735C1D">
        <w:rPr>
          <w:rFonts w:ascii="Arial" w:hAnsi="Arial" w:cs="Arial"/>
          <w:lang w:val="fr-FR"/>
        </w:rPr>
        <w:t>).</w:t>
      </w:r>
      <w:r>
        <w:rPr>
          <w:rFonts w:ascii="Arial" w:hAnsi="Arial" w:cs="Arial"/>
          <w:lang w:val="fr-FR"/>
        </w:rPr>
        <w:t xml:space="preserve"> En totale, une superficie de 250 </w:t>
      </w:r>
      <w:r w:rsidRPr="00735C1D">
        <w:rPr>
          <w:rFonts w:ascii="Arial" w:hAnsi="Arial" w:cs="Arial"/>
          <w:lang w:val="fr-FR"/>
        </w:rPr>
        <w:t>000 km</w:t>
      </w:r>
      <w:r w:rsidRPr="00735C1D">
        <w:rPr>
          <w:rFonts w:ascii="Arial" w:hAnsi="Arial" w:cs="Arial"/>
          <w:vertAlign w:val="superscript"/>
          <w:lang w:val="fr-FR"/>
        </w:rPr>
        <w:t>2</w:t>
      </w:r>
      <w:r w:rsidRPr="00735C1D">
        <w:rPr>
          <w:rFonts w:ascii="Arial" w:hAnsi="Arial" w:cs="Arial"/>
          <w:lang w:val="fr-FR"/>
        </w:rPr>
        <w:t xml:space="preserve"> a été affectée.</w:t>
      </w:r>
    </w:p>
    <w:p w:rsidR="00EA32B7" w:rsidRDefault="00EA32B7" w:rsidP="00EA32B7">
      <w:pPr>
        <w:spacing w:line="360" w:lineRule="auto"/>
        <w:jc w:val="both"/>
        <w:rPr>
          <w:rFonts w:ascii="Arial" w:hAnsi="Arial" w:cs="Arial"/>
          <w:lang w:val="fr-FR"/>
        </w:rPr>
      </w:pPr>
      <w:r w:rsidRPr="00735C1D">
        <w:rPr>
          <w:rFonts w:ascii="Arial" w:hAnsi="Arial" w:cs="Arial"/>
          <w:lang w:val="fr-FR"/>
        </w:rPr>
        <w:t xml:space="preserve">Au début, le tremblement </w:t>
      </w:r>
      <w:r>
        <w:rPr>
          <w:rFonts w:ascii="Arial" w:hAnsi="Arial" w:cs="Arial"/>
          <w:lang w:val="fr-FR"/>
        </w:rPr>
        <w:t>a</w:t>
      </w:r>
      <w:r w:rsidRPr="00735C1D">
        <w:rPr>
          <w:rFonts w:ascii="Arial" w:hAnsi="Arial" w:cs="Arial"/>
          <w:lang w:val="fr-FR"/>
        </w:rPr>
        <w:t xml:space="preserve"> commencé lentement et les habitants de la région pensaient qu’il s’agissait d’un petit </w:t>
      </w:r>
      <w:r>
        <w:rPr>
          <w:rFonts w:ascii="Arial" w:hAnsi="Arial" w:cs="Arial"/>
          <w:lang w:val="fr-FR"/>
        </w:rPr>
        <w:t>séisme,</w:t>
      </w:r>
      <w:r w:rsidRPr="00735C1D">
        <w:rPr>
          <w:rFonts w:ascii="Arial" w:hAnsi="Arial" w:cs="Arial"/>
          <w:lang w:val="fr-FR"/>
        </w:rPr>
        <w:t xml:space="preserve"> </w:t>
      </w:r>
      <w:r>
        <w:rPr>
          <w:rFonts w:ascii="Arial" w:hAnsi="Arial" w:cs="Arial"/>
          <w:lang w:val="fr-FR"/>
        </w:rPr>
        <w:t>comme il est commun</w:t>
      </w:r>
      <w:r w:rsidRPr="00735C1D">
        <w:rPr>
          <w:rFonts w:ascii="Arial" w:hAnsi="Arial" w:cs="Arial"/>
          <w:lang w:val="fr-FR"/>
        </w:rPr>
        <w:t xml:space="preserve"> dans cette partie d</w:t>
      </w:r>
      <w:r>
        <w:rPr>
          <w:rFonts w:ascii="Arial" w:hAnsi="Arial" w:cs="Arial"/>
          <w:lang w:val="fr-FR"/>
        </w:rPr>
        <w:t>e l</w:t>
      </w:r>
      <w:r w:rsidRPr="00735C1D">
        <w:rPr>
          <w:rFonts w:ascii="Arial" w:hAnsi="Arial" w:cs="Arial"/>
          <w:lang w:val="fr-FR"/>
        </w:rPr>
        <w:t xml:space="preserve">’Alaska. Finalement, le tremblement a atteint </w:t>
      </w:r>
      <w:r>
        <w:rPr>
          <w:rFonts w:ascii="Arial" w:hAnsi="Arial" w:cs="Arial"/>
          <w:lang w:val="fr-FR"/>
        </w:rPr>
        <w:t>un ordre d’énergie de 9.</w:t>
      </w:r>
      <w:r w:rsidRPr="00735C1D">
        <w:rPr>
          <w:rFonts w:ascii="Arial" w:hAnsi="Arial" w:cs="Arial"/>
          <w:lang w:val="fr-FR"/>
        </w:rPr>
        <w:t>2 sur l’échelle de Richt</w:t>
      </w:r>
      <w:r>
        <w:rPr>
          <w:rFonts w:ascii="Arial" w:hAnsi="Arial" w:cs="Arial"/>
          <w:lang w:val="fr-FR"/>
        </w:rPr>
        <w:t>er ce qui a</w:t>
      </w:r>
      <w:r w:rsidRPr="00735C1D">
        <w:rPr>
          <w:rFonts w:ascii="Arial" w:hAnsi="Arial" w:cs="Arial"/>
          <w:lang w:val="fr-FR"/>
        </w:rPr>
        <w:t xml:space="preserve"> même </w:t>
      </w:r>
      <w:r>
        <w:rPr>
          <w:rFonts w:ascii="Arial" w:hAnsi="Arial" w:cs="Arial"/>
          <w:lang w:val="fr-FR"/>
        </w:rPr>
        <w:t>formé des ondes</w:t>
      </w:r>
      <w:r w:rsidRPr="00735C1D">
        <w:rPr>
          <w:rFonts w:ascii="Arial" w:hAnsi="Arial" w:cs="Arial"/>
          <w:lang w:val="fr-FR"/>
        </w:rPr>
        <w:t xml:space="preserve"> de surface visibles </w:t>
      </w:r>
      <w:r>
        <w:rPr>
          <w:rFonts w:ascii="Arial" w:hAnsi="Arial" w:cs="Arial"/>
          <w:lang w:val="fr-FR"/>
        </w:rPr>
        <w:t xml:space="preserve">(ASIC, 2002) avec une </w:t>
      </w:r>
      <w:r w:rsidRPr="00735C1D">
        <w:rPr>
          <w:rFonts w:ascii="Arial" w:hAnsi="Arial" w:cs="Arial"/>
          <w:lang w:val="fr-FR"/>
        </w:rPr>
        <w:t xml:space="preserve">amplitude </w:t>
      </w:r>
      <w:r>
        <w:rPr>
          <w:rFonts w:ascii="Arial" w:hAnsi="Arial" w:cs="Arial"/>
          <w:lang w:val="fr-FR"/>
        </w:rPr>
        <w:t>de</w:t>
      </w:r>
      <w:r w:rsidRPr="00735C1D">
        <w:rPr>
          <w:rFonts w:ascii="Arial" w:hAnsi="Arial" w:cs="Arial"/>
          <w:lang w:val="fr-FR"/>
        </w:rPr>
        <w:t xml:space="preserve"> 1 m dans la ville la plus proche de l’épicentre, Valdez. </w:t>
      </w:r>
    </w:p>
    <w:p w:rsidR="00EA32B7" w:rsidRDefault="00E23953" w:rsidP="00EA32B7">
      <w:pPr>
        <w:spacing w:line="360" w:lineRule="auto"/>
        <w:jc w:val="both"/>
        <w:rPr>
          <w:rFonts w:ascii="Arial" w:hAnsi="Arial" w:cs="Arial"/>
          <w:lang w:val="fr-FR"/>
        </w:rPr>
      </w:pPr>
      <w:r>
        <w:rPr>
          <w:rFonts w:ascii="Arial" w:hAnsi="Arial" w:cs="Arial"/>
          <w:noProof/>
          <w:lang w:eastAsia="fr-CA"/>
        </w:rPr>
        <w:drawing>
          <wp:anchor distT="0" distB="0" distL="114300" distR="114300" simplePos="0" relativeHeight="251669504" behindDoc="0" locked="0" layoutInCell="1" allowOverlap="1">
            <wp:simplePos x="0" y="0"/>
            <wp:positionH relativeFrom="margin">
              <wp:posOffset>1839595</wp:posOffset>
            </wp:positionH>
            <wp:positionV relativeFrom="margin">
              <wp:posOffset>5229860</wp:posOffset>
            </wp:positionV>
            <wp:extent cx="3848100" cy="2600325"/>
            <wp:effectExtent l="0" t="0" r="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4_landslide_effects.g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8100" cy="2600325"/>
                    </a:xfrm>
                    <a:prstGeom prst="rect">
                      <a:avLst/>
                    </a:prstGeom>
                    <a:ln>
                      <a:noFill/>
                    </a:ln>
                    <a:effectLst>
                      <a:softEdge rad="112500"/>
                    </a:effectLst>
                  </pic:spPr>
                </pic:pic>
              </a:graphicData>
            </a:graphic>
          </wp:anchor>
        </w:drawing>
      </w:r>
      <w:r w:rsidR="00AD0F73" w:rsidRPr="00AD0F73">
        <w:rPr>
          <w:noProof/>
        </w:rPr>
        <w:pict>
          <v:shape id="Zone de texte 19" o:spid="_x0000_s1029" type="#_x0000_t202" style="position:absolute;left:0;text-align:left;margin-left:139.5pt;margin-top:308.45pt;width:303pt;height:31.9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" stroked="f">
            <v:textbox style="mso-fit-shape-to-text:t" inset="0,0,0,0">
              <w:txbxContent>
                <w:p w:rsidR="00FB2C3E" w:rsidRPr="00620B6E" w:rsidRDefault="00FB2C3E" w:rsidP="00620B6E">
                  <w:pPr>
                    <w:pStyle w:val="Lgende"/>
                    <w:jc w:val="center"/>
                    <w:rPr>
                      <w:rFonts w:ascii="Arial" w:hAnsi="Arial" w:cs="Arial"/>
                      <w:noProof/>
                      <w:color w:val="auto"/>
                    </w:rPr>
                  </w:pPr>
                  <w:bookmarkStart w:id="16" w:name="_Toc382561269"/>
                  <w:r w:rsidRPr="00620B6E">
                    <w:rPr>
                      <w:color w:val="auto"/>
                    </w:rPr>
                    <w:t xml:space="preserve">Figure </w:t>
                  </w:r>
                  <w:r w:rsidR="00AD0F73" w:rsidRPr="00620B6E">
                    <w:rPr>
                      <w:color w:val="auto"/>
                    </w:rPr>
                    <w:fldChar w:fldCharType="begin"/>
                  </w:r>
                  <w:r w:rsidRPr="00620B6E">
                    <w:rPr>
                      <w:color w:val="auto"/>
                    </w:rPr>
                    <w:instrText xml:space="preserve"> SEQ Figure \* ARABIC </w:instrText>
                  </w:r>
                  <w:r w:rsidR="00AD0F73" w:rsidRPr="00620B6E">
                    <w:rPr>
                      <w:color w:val="auto"/>
                    </w:rPr>
                    <w:fldChar w:fldCharType="separate"/>
                  </w:r>
                  <w:r w:rsidR="00620B6E">
                    <w:rPr>
                      <w:noProof/>
                      <w:color w:val="auto"/>
                    </w:rPr>
                    <w:t>5</w:t>
                  </w:r>
                  <w:r w:rsidR="00AD0F73" w:rsidRPr="00620B6E">
                    <w:rPr>
                      <w:color w:val="auto"/>
                    </w:rPr>
                    <w:fldChar w:fldCharType="end"/>
                  </w:r>
                  <w:r w:rsidRPr="00620B6E">
                    <w:rPr>
                      <w:color w:val="auto"/>
                    </w:rPr>
                    <w:t xml:space="preserve"> : Goverment Hill Elementary School, Anchorage, Alaska, complètement détruite par un immense glissement de terrain (USGS, 2012)</w:t>
                  </w:r>
                  <w:bookmarkEnd w:id="16"/>
                </w:p>
              </w:txbxContent>
            </v:textbox>
            <w10:wrap type="square"/>
          </v:shape>
        </w:pict>
      </w:r>
      <w:r w:rsidR="00EA32B7">
        <w:rPr>
          <w:rFonts w:ascii="Arial" w:hAnsi="Arial" w:cs="Arial"/>
          <w:lang w:val="fr-FR"/>
        </w:rPr>
        <w:t xml:space="preserve">Les effets de ce tremblement ont été des plus marquants à Valdez et à Anchorage, la capitale de l’état. </w:t>
      </w:r>
      <w:r w:rsidR="00EA32B7" w:rsidRPr="00735C1D">
        <w:rPr>
          <w:rFonts w:ascii="Arial" w:hAnsi="Arial" w:cs="Arial"/>
          <w:lang w:val="fr-FR"/>
        </w:rPr>
        <w:t>La secousse a causé</w:t>
      </w:r>
      <w:r w:rsidR="00EA32B7">
        <w:rPr>
          <w:rFonts w:ascii="Arial" w:hAnsi="Arial" w:cs="Arial"/>
          <w:lang w:val="fr-FR"/>
        </w:rPr>
        <w:t> l</w:t>
      </w:r>
      <w:r w:rsidR="00EA32B7" w:rsidRPr="00735C1D">
        <w:rPr>
          <w:rFonts w:ascii="Arial" w:hAnsi="Arial" w:cs="Arial"/>
          <w:lang w:val="fr-FR"/>
        </w:rPr>
        <w:t>’</w:t>
      </w:r>
      <w:r w:rsidR="00EA32B7">
        <w:rPr>
          <w:rFonts w:ascii="Arial" w:hAnsi="Arial" w:cs="Arial"/>
          <w:lang w:val="fr-FR"/>
        </w:rPr>
        <w:t>ouverture et la</w:t>
      </w:r>
      <w:r w:rsidR="00EA32B7" w:rsidRPr="00735C1D">
        <w:rPr>
          <w:rFonts w:ascii="Arial" w:hAnsi="Arial" w:cs="Arial"/>
          <w:lang w:val="fr-FR"/>
        </w:rPr>
        <w:t xml:space="preserve"> fermeture des fissures de 10 m </w:t>
      </w:r>
      <w:r w:rsidR="00EA32B7">
        <w:rPr>
          <w:rFonts w:ascii="Arial" w:hAnsi="Arial" w:cs="Arial"/>
          <w:lang w:val="fr-FR"/>
        </w:rPr>
        <w:t xml:space="preserve">de </w:t>
      </w:r>
      <w:r w:rsidR="00EA32B7" w:rsidRPr="00735C1D">
        <w:rPr>
          <w:rFonts w:ascii="Arial" w:hAnsi="Arial" w:cs="Arial"/>
          <w:lang w:val="fr-FR"/>
        </w:rPr>
        <w:t xml:space="preserve">larges ainsi que </w:t>
      </w:r>
      <w:r w:rsidR="00EA32B7">
        <w:rPr>
          <w:rFonts w:ascii="Arial" w:hAnsi="Arial" w:cs="Arial"/>
          <w:lang w:val="fr-FR"/>
        </w:rPr>
        <w:t>le</w:t>
      </w:r>
      <w:r w:rsidR="00EA32B7" w:rsidRPr="00735C1D">
        <w:rPr>
          <w:rFonts w:ascii="Arial" w:hAnsi="Arial" w:cs="Arial"/>
          <w:lang w:val="fr-FR"/>
        </w:rPr>
        <w:t xml:space="preserve"> déplacement de blo</w:t>
      </w:r>
      <w:r w:rsidR="00EA32B7">
        <w:rPr>
          <w:rFonts w:ascii="Arial" w:hAnsi="Arial" w:cs="Arial"/>
          <w:lang w:val="fr-FR"/>
        </w:rPr>
        <w:t>c</w:t>
      </w:r>
      <w:r w:rsidR="00EA32B7" w:rsidRPr="00735C1D">
        <w:rPr>
          <w:rFonts w:ascii="Arial" w:hAnsi="Arial" w:cs="Arial"/>
          <w:lang w:val="fr-FR"/>
        </w:rPr>
        <w:t>s rocheu</w:t>
      </w:r>
      <w:r w:rsidR="00EA32B7">
        <w:rPr>
          <w:rFonts w:ascii="Arial" w:hAnsi="Arial" w:cs="Arial"/>
          <w:lang w:val="fr-FR"/>
        </w:rPr>
        <w:t>x ce qui a dét</w:t>
      </w:r>
      <w:r w:rsidR="00EA32B7" w:rsidRPr="00735C1D">
        <w:rPr>
          <w:rFonts w:ascii="Arial" w:hAnsi="Arial" w:cs="Arial"/>
          <w:lang w:val="fr-FR"/>
        </w:rPr>
        <w:t>rui</w:t>
      </w:r>
      <w:r w:rsidR="00EA32B7">
        <w:rPr>
          <w:rFonts w:ascii="Arial" w:hAnsi="Arial" w:cs="Arial"/>
          <w:lang w:val="fr-FR"/>
        </w:rPr>
        <w:t>t</w:t>
      </w:r>
      <w:r w:rsidR="00EA32B7" w:rsidRPr="00735C1D">
        <w:rPr>
          <w:rFonts w:ascii="Arial" w:hAnsi="Arial" w:cs="Arial"/>
          <w:lang w:val="fr-FR"/>
        </w:rPr>
        <w:t xml:space="preserve"> des immeubles, </w:t>
      </w:r>
      <w:r w:rsidR="00EA32B7">
        <w:rPr>
          <w:rFonts w:ascii="Arial" w:hAnsi="Arial" w:cs="Arial"/>
          <w:lang w:val="fr-FR"/>
        </w:rPr>
        <w:t xml:space="preserve">des </w:t>
      </w:r>
      <w:r w:rsidR="00EA32B7" w:rsidRPr="00735C1D">
        <w:rPr>
          <w:rFonts w:ascii="Arial" w:hAnsi="Arial" w:cs="Arial"/>
          <w:lang w:val="fr-FR"/>
        </w:rPr>
        <w:t>édifices commercia</w:t>
      </w:r>
      <w:r w:rsidR="00EA32B7">
        <w:rPr>
          <w:rFonts w:ascii="Arial" w:hAnsi="Arial" w:cs="Arial"/>
          <w:lang w:val="fr-FR"/>
        </w:rPr>
        <w:t>ux</w:t>
      </w:r>
      <w:r w:rsidR="00EA32B7" w:rsidRPr="00735C1D">
        <w:rPr>
          <w:rFonts w:ascii="Arial" w:hAnsi="Arial" w:cs="Arial"/>
          <w:lang w:val="fr-FR"/>
        </w:rPr>
        <w:t xml:space="preserve"> et</w:t>
      </w:r>
      <w:r w:rsidR="00EA32B7">
        <w:rPr>
          <w:rFonts w:ascii="Arial" w:hAnsi="Arial" w:cs="Arial"/>
          <w:lang w:val="fr-FR"/>
        </w:rPr>
        <w:t xml:space="preserve"> des</w:t>
      </w:r>
      <w:r w:rsidR="00EA32B7" w:rsidRPr="00735C1D">
        <w:rPr>
          <w:rFonts w:ascii="Arial" w:hAnsi="Arial" w:cs="Arial"/>
          <w:lang w:val="fr-FR"/>
        </w:rPr>
        <w:t xml:space="preserve"> écoles</w:t>
      </w:r>
      <w:r w:rsidR="00EA32B7">
        <w:rPr>
          <w:rFonts w:ascii="Arial" w:hAnsi="Arial" w:cs="Arial"/>
          <w:lang w:val="fr-FR"/>
        </w:rPr>
        <w:t xml:space="preserve"> (figure 5</w:t>
      </w:r>
      <w:r w:rsidR="00EA32B7" w:rsidRPr="000D368D">
        <w:rPr>
          <w:rFonts w:ascii="Arial" w:hAnsi="Arial" w:cs="Arial"/>
          <w:lang w:val="fr-FR"/>
        </w:rPr>
        <w:t>)</w:t>
      </w:r>
      <w:r w:rsidR="00EA32B7" w:rsidRPr="00735C1D">
        <w:rPr>
          <w:rFonts w:ascii="Arial" w:hAnsi="Arial" w:cs="Arial"/>
          <w:lang w:val="fr-FR"/>
        </w:rPr>
        <w:t xml:space="preserve">. De plus, </w:t>
      </w:r>
      <w:r w:rsidR="00EA32B7">
        <w:rPr>
          <w:rFonts w:ascii="Arial" w:hAnsi="Arial" w:cs="Arial"/>
          <w:lang w:val="fr-FR"/>
        </w:rPr>
        <w:t>la liquéfaction des sédiments a</w:t>
      </w:r>
      <w:r w:rsidR="00EA32B7" w:rsidRPr="00735C1D">
        <w:rPr>
          <w:rFonts w:ascii="Arial" w:hAnsi="Arial" w:cs="Arial"/>
          <w:lang w:val="fr-FR"/>
        </w:rPr>
        <w:t xml:space="preserve"> </w:t>
      </w:r>
      <w:r w:rsidR="00EA32B7">
        <w:rPr>
          <w:rFonts w:ascii="Arial" w:hAnsi="Arial" w:cs="Arial"/>
          <w:lang w:val="fr-FR"/>
        </w:rPr>
        <w:t>formé</w:t>
      </w:r>
      <w:r w:rsidR="00EA32B7" w:rsidRPr="00735C1D">
        <w:rPr>
          <w:rFonts w:ascii="Arial" w:hAnsi="Arial" w:cs="Arial"/>
          <w:lang w:val="fr-FR"/>
        </w:rPr>
        <w:t xml:space="preserve"> plusieurs grands</w:t>
      </w:r>
      <w:r w:rsidR="00EA32B7">
        <w:rPr>
          <w:rFonts w:ascii="Arial" w:hAnsi="Arial" w:cs="Arial"/>
          <w:lang w:val="fr-FR"/>
        </w:rPr>
        <w:t xml:space="preserve"> glissements de terrain, s</w:t>
      </w:r>
      <w:r w:rsidR="00EA32B7" w:rsidRPr="00735C1D">
        <w:rPr>
          <w:rFonts w:ascii="Arial" w:hAnsi="Arial" w:cs="Arial"/>
          <w:lang w:val="fr-FR"/>
        </w:rPr>
        <w:t>urtout à Turnagain Heights d’Anchorage</w:t>
      </w:r>
      <w:r w:rsidR="00EA32B7">
        <w:rPr>
          <w:rFonts w:ascii="Arial" w:hAnsi="Arial" w:cs="Arial"/>
          <w:lang w:val="fr-FR"/>
        </w:rPr>
        <w:t>, ainsi que</w:t>
      </w:r>
      <w:r w:rsidR="00EA32B7" w:rsidRPr="00735C1D">
        <w:rPr>
          <w:rFonts w:ascii="Arial" w:hAnsi="Arial" w:cs="Arial"/>
          <w:lang w:val="fr-FR"/>
        </w:rPr>
        <w:t xml:space="preserve"> des </w:t>
      </w:r>
      <w:r w:rsidR="00EA32B7" w:rsidRPr="00557D5A">
        <w:rPr>
          <w:rFonts w:ascii="Arial" w:hAnsi="Arial" w:cs="Arial"/>
          <w:lang w:val="fr-FR"/>
        </w:rPr>
        <w:t xml:space="preserve">avalanches qui </w:t>
      </w:r>
      <w:r w:rsidR="008C19C1" w:rsidRPr="00557D5A">
        <w:rPr>
          <w:rFonts w:ascii="Arial" w:hAnsi="Arial" w:cs="Arial"/>
          <w:lang w:val="fr-FR"/>
        </w:rPr>
        <w:t>sont responsable d’</w:t>
      </w:r>
      <w:r w:rsidR="00EA32B7" w:rsidRPr="00557D5A">
        <w:rPr>
          <w:rFonts w:ascii="Arial" w:hAnsi="Arial" w:cs="Arial"/>
          <w:lang w:val="fr-FR"/>
        </w:rPr>
        <w:t xml:space="preserve">une partie importante des </w:t>
      </w:r>
      <w:r w:rsidR="008C19C1" w:rsidRPr="00557D5A">
        <w:rPr>
          <w:rFonts w:ascii="Arial" w:hAnsi="Arial" w:cs="Arial"/>
          <w:lang w:val="fr-FR"/>
        </w:rPr>
        <w:t>dommages</w:t>
      </w:r>
      <w:r w:rsidR="00EA32B7" w:rsidRPr="00557D5A">
        <w:rPr>
          <w:rFonts w:ascii="Arial" w:hAnsi="Arial" w:cs="Arial"/>
          <w:lang w:val="fr-FR"/>
        </w:rPr>
        <w:t>. Une superficie de 130 000 km</w:t>
      </w:r>
      <w:r w:rsidR="00EA32B7" w:rsidRPr="00557D5A">
        <w:rPr>
          <w:rFonts w:ascii="Arial" w:hAnsi="Arial" w:cs="Arial"/>
          <w:vertAlign w:val="superscript"/>
          <w:lang w:val="fr-FR"/>
        </w:rPr>
        <w:t>2</w:t>
      </w:r>
      <w:r w:rsidR="00EA32B7" w:rsidRPr="00557D5A">
        <w:rPr>
          <w:rFonts w:ascii="Arial" w:hAnsi="Arial" w:cs="Arial"/>
          <w:lang w:val="fr-FR"/>
        </w:rPr>
        <w:t xml:space="preserve"> a été détruite,  et en conséquence, les systèmes d’eau, gaz, égouts, téléphone, et électricité ont été interrompu</w:t>
      </w:r>
      <w:r w:rsidR="008C19C1" w:rsidRPr="00557D5A">
        <w:rPr>
          <w:rFonts w:ascii="Arial" w:hAnsi="Arial" w:cs="Arial"/>
          <w:lang w:val="fr-FR"/>
        </w:rPr>
        <w:t>s</w:t>
      </w:r>
      <w:r w:rsidR="00EA32B7" w:rsidRPr="00557D5A">
        <w:rPr>
          <w:rFonts w:ascii="Arial" w:hAnsi="Arial" w:cs="Arial"/>
          <w:lang w:val="fr-FR"/>
        </w:rPr>
        <w:t>. (U</w:t>
      </w:r>
      <w:r>
        <w:rPr>
          <w:rFonts w:ascii="Arial" w:hAnsi="Arial" w:cs="Arial"/>
          <w:lang w:val="fr-FR"/>
        </w:rPr>
        <w:t xml:space="preserve">SGS, </w:t>
      </w:r>
      <w:r w:rsidR="00EA32B7">
        <w:rPr>
          <w:rFonts w:ascii="Arial" w:hAnsi="Arial" w:cs="Arial"/>
          <w:lang w:val="fr-FR"/>
        </w:rPr>
        <w:t>2012.)</w:t>
      </w:r>
    </w:p>
    <w:p w:rsidR="00EA32B7" w:rsidRDefault="00EA32B7" w:rsidP="00EA32B7">
      <w:pPr>
        <w:spacing w:line="360" w:lineRule="auto"/>
        <w:jc w:val="both"/>
        <w:rPr>
          <w:rFonts w:ascii="Arial" w:hAnsi="Arial" w:cs="Arial"/>
          <w:lang w:val="fr-FR"/>
        </w:rPr>
      </w:pPr>
      <w:r>
        <w:rPr>
          <w:rFonts w:ascii="Arial" w:hAnsi="Arial" w:cs="Arial"/>
          <w:lang w:val="fr-FR"/>
        </w:rPr>
        <w:lastRenderedPageBreak/>
        <w:t xml:space="preserve">Ces </w:t>
      </w:r>
      <w:r w:rsidRPr="00557D5A">
        <w:rPr>
          <w:rFonts w:ascii="Arial" w:hAnsi="Arial" w:cs="Arial"/>
          <w:lang w:val="fr-FR"/>
        </w:rPr>
        <w:t xml:space="preserve">événements considérables liés directement au tremblement ont causé 15 décès. Le nombre de décès, et la quantité des dégâts, a été multiplié pendant la nuit suivante dans plusieurs villes par les effets des tsunamis </w:t>
      </w:r>
      <w:r w:rsidR="003C16EF" w:rsidRPr="00557D5A">
        <w:rPr>
          <w:rFonts w:ascii="Arial" w:hAnsi="Arial" w:cs="Arial"/>
          <w:lang w:val="fr-FR"/>
        </w:rPr>
        <w:t>sub</w:t>
      </w:r>
      <w:r w:rsidRPr="00557D5A">
        <w:rPr>
          <w:rFonts w:ascii="Arial" w:hAnsi="Arial" w:cs="Arial"/>
          <w:lang w:val="fr-FR"/>
        </w:rPr>
        <w:t xml:space="preserve">séquents. Cependant, le nombre des décès a été faible par rapport à la magnitude du tremblement dû à la faible densité de population de la région, </w:t>
      </w:r>
      <w:r w:rsidR="003C16EF" w:rsidRPr="00557D5A">
        <w:rPr>
          <w:rFonts w:ascii="Arial" w:hAnsi="Arial" w:cs="Arial"/>
          <w:lang w:val="fr-FR"/>
        </w:rPr>
        <w:t xml:space="preserve">la période </w:t>
      </w:r>
      <w:r w:rsidRPr="00557D5A">
        <w:rPr>
          <w:rFonts w:ascii="Arial" w:hAnsi="Arial" w:cs="Arial"/>
          <w:lang w:val="fr-FR"/>
        </w:rPr>
        <w:t xml:space="preserve"> de jour des</w:t>
      </w:r>
      <w:r>
        <w:rPr>
          <w:rFonts w:ascii="Arial" w:hAnsi="Arial" w:cs="Arial"/>
          <w:lang w:val="fr-FR"/>
        </w:rPr>
        <w:t xml:space="preserve"> événements et le fait qu’il s’agissait d’un jour férié (ASIC, 2002).</w:t>
      </w:r>
    </w:p>
    <w:p w:rsidR="00EA32B7" w:rsidRPr="006047FD" w:rsidRDefault="00EA32B7" w:rsidP="00EA32B7">
      <w:pPr>
        <w:pStyle w:val="Titre1"/>
        <w:spacing w:line="360" w:lineRule="auto"/>
        <w:rPr>
          <w:rFonts w:ascii="Arial" w:hAnsi="Arial" w:cs="Arial"/>
          <w:color w:val="auto"/>
        </w:rPr>
      </w:pPr>
      <w:bookmarkStart w:id="17" w:name="_Toc382388318"/>
      <w:bookmarkStart w:id="18" w:name="_Toc382561262"/>
      <w:r w:rsidRPr="006047FD">
        <w:rPr>
          <w:rFonts w:ascii="Arial" w:hAnsi="Arial" w:cs="Arial"/>
          <w:color w:val="auto"/>
        </w:rPr>
        <w:t>Puissant tsunami provoqué par le séisme</w:t>
      </w:r>
      <w:bookmarkEnd w:id="17"/>
      <w:bookmarkEnd w:id="18"/>
    </w:p>
    <w:p w:rsidR="00EA32B7" w:rsidRDefault="00EA32B7" w:rsidP="00EA32B7">
      <w:pPr>
        <w:spacing w:line="360" w:lineRule="auto"/>
        <w:jc w:val="both"/>
        <w:rPr>
          <w:rFonts w:ascii="Arial" w:hAnsi="Arial" w:cs="Arial"/>
        </w:rPr>
      </w:pPr>
      <w:r w:rsidRPr="00D662BC">
        <w:rPr>
          <w:rFonts w:ascii="Arial" w:hAnsi="Arial" w:cs="Arial"/>
        </w:rPr>
        <w:t>Cette région est connue comme étant une zone sismique tsunamigène puisqu’elle est fortement marquée par des mouvements verticaux de la croûte terrestre, entraînant des déplacements du plancher océanique</w:t>
      </w:r>
      <w:r>
        <w:rPr>
          <w:rFonts w:ascii="Arial" w:hAnsi="Arial" w:cs="Arial"/>
        </w:rPr>
        <w:t>, tel que mentionné précédemment</w:t>
      </w:r>
      <w:r w:rsidRPr="00D662BC">
        <w:rPr>
          <w:rFonts w:ascii="Arial" w:hAnsi="Arial" w:cs="Arial"/>
        </w:rPr>
        <w:t>.</w:t>
      </w:r>
      <w:r>
        <w:rPr>
          <w:rFonts w:ascii="Arial" w:hAnsi="Arial" w:cs="Arial"/>
        </w:rPr>
        <w:t xml:space="preserve"> </w:t>
      </w:r>
      <w:r w:rsidRPr="00D662BC">
        <w:rPr>
          <w:rFonts w:ascii="Arial" w:hAnsi="Arial" w:cs="Arial"/>
        </w:rPr>
        <w:t xml:space="preserve">De tels événements sismiques se sont produits à trois reprises au cours du temps, notamment sur la péninsule de l’Alaska, les îles Aléoutiennes ainsi que le golfe de l’Alaska, générant des tsunamis locaux et au large du Pacifique. </w:t>
      </w:r>
    </w:p>
    <w:p w:rsidR="00EA32B7" w:rsidRDefault="00AD0F73" w:rsidP="00EA32B7">
      <w:pPr>
        <w:spacing w:line="360" w:lineRule="auto"/>
        <w:jc w:val="both"/>
        <w:rPr>
          <w:rFonts w:ascii="Arial" w:hAnsi="Arial" w:cs="Arial"/>
        </w:rPr>
      </w:pPr>
      <w:r w:rsidRPr="00AD0F73">
        <w:rPr>
          <w:noProof/>
        </w:rPr>
        <w:pict>
          <v:shape id="Zone de texte 20" o:spid="_x0000_s1030" type="#_x0000_t202" style="position:absolute;left:0;text-align:left;margin-left:99.2pt;margin-top:288.15pt;width:358.3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" stroked="f">
            <v:textbox style="mso-fit-shape-to-text:t" inset="0,0,0,0">
              <w:txbxContent>
                <w:p w:rsidR="00620B6E" w:rsidRPr="00620B6E" w:rsidRDefault="00620B6E" w:rsidP="00620B6E">
                  <w:pPr>
                    <w:pStyle w:val="Lgende"/>
                    <w:jc w:val="center"/>
                    <w:rPr>
                      <w:rFonts w:ascii="Arial" w:hAnsi="Arial" w:cs="Arial"/>
                      <w:noProof/>
                      <w:color w:val="auto"/>
                    </w:rPr>
                  </w:pPr>
                  <w:bookmarkStart w:id="19" w:name="_Toc382561270"/>
                  <w:r w:rsidRPr="00620B6E">
                    <w:rPr>
                      <w:color w:val="auto"/>
                    </w:rPr>
                    <w:t xml:space="preserve">Figure </w:t>
                  </w:r>
                  <w:r w:rsidR="00AD0F73" w:rsidRPr="00620B6E">
                    <w:rPr>
                      <w:color w:val="auto"/>
                    </w:rPr>
                    <w:fldChar w:fldCharType="begin"/>
                  </w:r>
                  <w:r w:rsidRPr="00620B6E">
                    <w:rPr>
                      <w:color w:val="auto"/>
                    </w:rPr>
                    <w:instrText xml:space="preserve"> SEQ Figure \* ARABIC </w:instrText>
                  </w:r>
                  <w:r w:rsidR="00AD0F73" w:rsidRPr="00620B6E">
                    <w:rPr>
                      <w:color w:val="auto"/>
                    </w:rPr>
                    <w:fldChar w:fldCharType="separate"/>
                  </w:r>
                  <w:r>
                    <w:rPr>
                      <w:noProof/>
                      <w:color w:val="auto"/>
                    </w:rPr>
                    <w:t>6</w:t>
                  </w:r>
                  <w:r w:rsidR="00AD0F73" w:rsidRPr="00620B6E">
                    <w:rPr>
                      <w:color w:val="auto"/>
                    </w:rPr>
                    <w:fldChar w:fldCharType="end"/>
                  </w:r>
                  <w:r w:rsidRPr="00620B6E">
                    <w:rPr>
                      <w:color w:val="auto"/>
                    </w:rPr>
                    <w:t xml:space="preserve"> : Carte illustrant les hauteurs des jets de rive (cercle) ainsi que les glissements sous-marins provoqués par le séisme de 1964 (triangle rouge)</w:t>
                  </w:r>
                  <w:r>
                    <w:rPr>
                      <w:color w:val="auto"/>
                    </w:rPr>
                    <w:t xml:space="preserve"> (</w:t>
                  </w:r>
                  <w:r w:rsidR="00B00EE9" w:rsidRPr="00B00EE9">
                    <w:rPr>
                      <w:color w:val="auto"/>
                    </w:rPr>
                    <w:t>Nicolsky D.J.,</w:t>
                  </w:r>
                  <w:r w:rsidR="00B00EE9">
                    <w:rPr>
                      <w:color w:val="auto"/>
                    </w:rPr>
                    <w:t xml:space="preserve"> Suleimani E.N. et Hansen R.A., </w:t>
                  </w:r>
                  <w:r w:rsidR="00B00EE9" w:rsidRPr="00B00EE9">
                    <w:rPr>
                      <w:color w:val="auto"/>
                    </w:rPr>
                    <w:t>2013</w:t>
                  </w:r>
                  <w:r w:rsidR="00B00EE9">
                    <w:rPr>
                      <w:color w:val="auto"/>
                    </w:rPr>
                    <w:t>)</w:t>
                  </w:r>
                  <w:bookmarkEnd w:id="19"/>
                </w:p>
              </w:txbxContent>
            </v:textbox>
            <w10:wrap type="square"/>
          </v:shape>
        </w:pict>
      </w:r>
      <w:r w:rsidR="00EA32B7">
        <w:rPr>
          <w:rFonts w:ascii="Arial" w:hAnsi="Arial" w:cs="Arial"/>
          <w:noProof/>
          <w:lang w:eastAsia="fr-CA"/>
        </w:rPr>
        <w:drawing>
          <wp:anchor distT="0" distB="0" distL="114300" distR="114300" simplePos="0" relativeHeight="251672576" behindDoc="0" locked="0" layoutInCell="1" allowOverlap="1">
            <wp:simplePos x="0" y="0"/>
            <wp:positionH relativeFrom="column">
              <wp:posOffset>1259840</wp:posOffset>
            </wp:positionH>
            <wp:positionV relativeFrom="paragraph">
              <wp:posOffset>485140</wp:posOffset>
            </wp:positionV>
            <wp:extent cx="4550410" cy="311721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nagageneral.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0410" cy="3117215"/>
                    </a:xfrm>
                    <a:prstGeom prst="rect">
                      <a:avLst/>
                    </a:prstGeom>
                  </pic:spPr>
                </pic:pic>
              </a:graphicData>
            </a:graphic>
          </wp:anchor>
        </w:drawing>
      </w:r>
      <w:r w:rsidR="00EA32B7" w:rsidRPr="00D662BC">
        <w:rPr>
          <w:rFonts w:ascii="Arial" w:hAnsi="Arial" w:cs="Arial"/>
        </w:rPr>
        <w:t>Le tsunami principal de 1964 est le tsunami le plus destructeur dans l’histoire de l’</w:t>
      </w:r>
      <w:r w:rsidR="00EA32B7">
        <w:rPr>
          <w:rFonts w:ascii="Arial" w:hAnsi="Arial" w:cs="Arial"/>
        </w:rPr>
        <w:t>Alaska, dévastant plusieurs villes au pourtour du Golfe de l’Alaska et ayant un impact jusqu’au Canada et aux États-Unis.</w:t>
      </w:r>
      <w:r w:rsidR="00EA32B7" w:rsidRPr="00D662BC">
        <w:rPr>
          <w:rFonts w:ascii="Arial" w:hAnsi="Arial" w:cs="Arial"/>
        </w:rPr>
        <w:t xml:space="preserve"> </w:t>
      </w:r>
      <w:r w:rsidR="00EA32B7">
        <w:rPr>
          <w:rFonts w:ascii="Arial" w:hAnsi="Arial" w:cs="Arial"/>
        </w:rPr>
        <w:t xml:space="preserve">Il a été généré par le mouvement à grande échelle du fond de l’océan Pacifique et a entraîné la mort de 4 personnes à Newport Beach en Oregon, 12 à Crescent City en Californie et 21 en Alaska. Les ondes locales ont été </w:t>
      </w:r>
      <w:r w:rsidR="00EA32B7">
        <w:rPr>
          <w:rFonts w:ascii="Arial" w:hAnsi="Arial" w:cs="Arial"/>
        </w:rPr>
        <w:br w:type="page"/>
      </w:r>
      <w:r w:rsidR="00EA32B7" w:rsidRPr="00557D5A">
        <w:rPr>
          <w:rFonts w:ascii="Arial" w:hAnsi="Arial" w:cs="Arial"/>
        </w:rPr>
        <w:lastRenderedPageBreak/>
        <w:t>déclenchées seulement quelques minutes après que la secousse ait commencé</w:t>
      </w:r>
      <w:r w:rsidR="003C16EF" w:rsidRPr="00557D5A">
        <w:rPr>
          <w:rFonts w:ascii="Arial" w:hAnsi="Arial" w:cs="Arial"/>
        </w:rPr>
        <w:t>,</w:t>
      </w:r>
      <w:r w:rsidR="00EA32B7" w:rsidRPr="00557D5A">
        <w:rPr>
          <w:rFonts w:ascii="Arial" w:hAnsi="Arial" w:cs="Arial"/>
        </w:rPr>
        <w:t xml:space="preserve"> </w:t>
      </w:r>
      <w:r w:rsidR="003C16EF" w:rsidRPr="00557D5A">
        <w:rPr>
          <w:rFonts w:ascii="Arial" w:hAnsi="Arial" w:cs="Arial"/>
        </w:rPr>
        <w:t xml:space="preserve">engendrant </w:t>
      </w:r>
      <w:r w:rsidR="00EA32B7" w:rsidRPr="00557D5A">
        <w:rPr>
          <w:rFonts w:ascii="Arial" w:hAnsi="Arial" w:cs="Arial"/>
        </w:rPr>
        <w:t>des glissements sous-marins et de nombreuses avalanches, provoquant 82 autres pertes humaines</w:t>
      </w:r>
      <w:r w:rsidR="00EA32B7">
        <w:rPr>
          <w:rFonts w:ascii="Arial" w:hAnsi="Arial" w:cs="Arial"/>
        </w:rPr>
        <w:t xml:space="preserve"> en Alaska. La plus haute vague a atteint les 67 m à Valdez Inlet </w:t>
      </w:r>
      <w:r w:rsidR="00EA32B7" w:rsidRPr="00A921C2">
        <w:rPr>
          <w:rFonts w:ascii="Arial" w:hAnsi="Arial" w:cs="Arial"/>
        </w:rPr>
        <w:t xml:space="preserve">(figure </w:t>
      </w:r>
      <w:r w:rsidR="00EA32B7">
        <w:rPr>
          <w:rFonts w:ascii="Arial" w:hAnsi="Arial" w:cs="Arial"/>
        </w:rPr>
        <w:t>6</w:t>
      </w:r>
      <w:r w:rsidR="00EA32B7" w:rsidRPr="00A921C2">
        <w:rPr>
          <w:rFonts w:ascii="Arial" w:hAnsi="Arial" w:cs="Arial"/>
        </w:rPr>
        <w:t>)</w:t>
      </w:r>
      <w:r w:rsidR="00EA32B7">
        <w:rPr>
          <w:rFonts w:ascii="Arial" w:hAnsi="Arial" w:cs="Arial"/>
        </w:rPr>
        <w:t>.  (AEIC, 2002;</w:t>
      </w:r>
      <w:r w:rsidR="00EA32B7" w:rsidRPr="00493EAE">
        <w:t xml:space="preserve"> </w:t>
      </w:r>
      <w:r w:rsidR="00EA32B7" w:rsidRPr="000E4E7B">
        <w:rPr>
          <w:rFonts w:ascii="Arial" w:hAnsi="Arial" w:cs="Arial"/>
        </w:rPr>
        <w:t>USGS, 2012)</w:t>
      </w:r>
      <w:r w:rsidR="00EA32B7">
        <w:rPr>
          <w:rFonts w:ascii="Arial" w:hAnsi="Arial" w:cs="Arial"/>
        </w:rPr>
        <w:t xml:space="preserve"> </w:t>
      </w:r>
    </w:p>
    <w:p w:rsidR="00EA32B7" w:rsidRDefault="00EA32B7" w:rsidP="00EA32B7">
      <w:pPr>
        <w:spacing w:line="360" w:lineRule="auto"/>
        <w:jc w:val="center"/>
        <w:rPr>
          <w:rFonts w:ascii="Arial" w:hAnsi="Arial" w:cs="Arial"/>
        </w:rPr>
      </w:pPr>
      <w:r>
        <w:rPr>
          <w:rFonts w:ascii="Arial" w:hAnsi="Arial" w:cs="Arial"/>
          <w:noProof/>
          <w:lang w:eastAsia="fr-CA"/>
        </w:rPr>
        <w:drawing>
          <wp:inline distT="0" distB="0" distL="0" distR="0">
            <wp:extent cx="5182145" cy="327482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lackenai.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5460" cy="3276923"/>
                    </a:xfrm>
                    <a:prstGeom prst="rect">
                      <a:avLst/>
                    </a:prstGeom>
                  </pic:spPr>
                </pic:pic>
              </a:graphicData>
            </a:graphic>
          </wp:inline>
        </w:drawing>
      </w:r>
    </w:p>
    <w:p w:rsidR="00620B6E" w:rsidRDefault="00EA32B7" w:rsidP="00620B6E">
      <w:pPr>
        <w:keepNext/>
        <w:spacing w:line="360" w:lineRule="auto"/>
        <w:jc w:val="center"/>
      </w:pPr>
      <w:r>
        <w:rPr>
          <w:rFonts w:ascii="Arial" w:hAnsi="Arial" w:cs="Arial"/>
          <w:noProof/>
          <w:lang w:eastAsia="fr-CA"/>
        </w:rPr>
        <w:drawing>
          <wp:inline distT="0" distB="0" distL="0" distR="0">
            <wp:extent cx="5386713" cy="314723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eslackenai.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5263" cy="3152233"/>
                    </a:xfrm>
                    <a:prstGeom prst="rect">
                      <a:avLst/>
                    </a:prstGeom>
                  </pic:spPr>
                </pic:pic>
              </a:graphicData>
            </a:graphic>
          </wp:inline>
        </w:drawing>
      </w:r>
    </w:p>
    <w:p w:rsidR="00EA32B7" w:rsidRPr="00620B6E" w:rsidRDefault="00620B6E" w:rsidP="00620B6E">
      <w:pPr>
        <w:pStyle w:val="Lgende"/>
        <w:jc w:val="center"/>
        <w:rPr>
          <w:color w:val="auto"/>
        </w:rPr>
      </w:pPr>
      <w:bookmarkStart w:id="20" w:name="_Toc382561271"/>
      <w:r w:rsidRPr="00620B6E">
        <w:rPr>
          <w:color w:val="auto"/>
        </w:rPr>
        <w:t xml:space="preserve">Figure </w:t>
      </w:r>
      <w:r w:rsidR="00AD0F73" w:rsidRPr="00620B6E">
        <w:rPr>
          <w:color w:val="auto"/>
        </w:rPr>
        <w:fldChar w:fldCharType="begin"/>
      </w:r>
      <w:r w:rsidRPr="00620B6E">
        <w:rPr>
          <w:color w:val="auto"/>
        </w:rPr>
        <w:instrText xml:space="preserve"> SEQ Figure \* ARABIC </w:instrText>
      </w:r>
      <w:r w:rsidR="00AD0F73" w:rsidRPr="00620B6E">
        <w:rPr>
          <w:color w:val="auto"/>
        </w:rPr>
        <w:fldChar w:fldCharType="separate"/>
      </w:r>
      <w:r>
        <w:rPr>
          <w:noProof/>
          <w:color w:val="auto"/>
        </w:rPr>
        <w:t>7</w:t>
      </w:r>
      <w:r w:rsidR="00AD0F73" w:rsidRPr="00620B6E">
        <w:rPr>
          <w:color w:val="auto"/>
        </w:rPr>
        <w:fldChar w:fldCharType="end"/>
      </w:r>
      <w:r w:rsidRPr="00620B6E">
        <w:rPr>
          <w:color w:val="auto"/>
        </w:rPr>
        <w:t xml:space="preserve"> : Profils bathymétriques illustrant les modifications </w:t>
      </w:r>
      <w:r w:rsidRPr="00B41164">
        <w:rPr>
          <w:color w:val="auto"/>
        </w:rPr>
        <w:t>apporté</w:t>
      </w:r>
      <w:r w:rsidR="003C16EF" w:rsidRPr="00B41164">
        <w:rPr>
          <w:color w:val="auto"/>
        </w:rPr>
        <w:t>e</w:t>
      </w:r>
      <w:r w:rsidRPr="00B41164">
        <w:rPr>
          <w:color w:val="auto"/>
        </w:rPr>
        <w:t>s aux pourtours du lac Kenai, soit avant le séisme (A) et après (B) (McCulloch S. D., 1966</w:t>
      </w:r>
      <w:r w:rsidRPr="00620B6E">
        <w:rPr>
          <w:color w:val="auto"/>
        </w:rPr>
        <w:t>)</w:t>
      </w:r>
      <w:bookmarkEnd w:id="20"/>
    </w:p>
    <w:p w:rsidR="00EA32B7" w:rsidRPr="00557D5A" w:rsidRDefault="00EA32B7" w:rsidP="00EA32B7">
      <w:pPr>
        <w:spacing w:line="360" w:lineRule="auto"/>
        <w:jc w:val="both"/>
        <w:rPr>
          <w:rFonts w:ascii="Arial" w:hAnsi="Arial" w:cs="Arial"/>
        </w:rPr>
      </w:pPr>
      <w:r>
        <w:rPr>
          <w:rFonts w:ascii="Arial" w:hAnsi="Arial" w:cs="Arial"/>
        </w:rPr>
        <w:lastRenderedPageBreak/>
        <w:t>De multiples glissements de terrain ont eu lieu dans les baies des fjords à l’ouest de l’épicentre, causant des tsunamis locaux (USGS, 2014). Le lac Kenai sur la péninsule Kenai en est un parfait exemple (figure 1). Celui-</w:t>
      </w:r>
      <w:r w:rsidRPr="00557D5A">
        <w:rPr>
          <w:rFonts w:ascii="Arial" w:hAnsi="Arial" w:cs="Arial"/>
        </w:rPr>
        <w:t xml:space="preserve">ci a contribué à la formation de ces types de vagues puisque la secousse a fait déplacer une grande quantité de matériel, formant neuf deltas (figure 7). </w:t>
      </w:r>
    </w:p>
    <w:p w:rsidR="00EA32B7" w:rsidRPr="00E77FC7" w:rsidRDefault="00EA32B7" w:rsidP="00EA32B7">
      <w:pPr>
        <w:spacing w:line="360" w:lineRule="auto"/>
        <w:jc w:val="both"/>
        <w:rPr>
          <w:rFonts w:ascii="Arial" w:hAnsi="Arial" w:cs="Arial"/>
        </w:rPr>
      </w:pPr>
      <w:r w:rsidRPr="00557D5A">
        <w:rPr>
          <w:rFonts w:ascii="Arial" w:hAnsi="Arial" w:cs="Arial"/>
        </w:rPr>
        <w:t xml:space="preserve">Les débris de ces glissements se sont propagés largement au </w:t>
      </w:r>
      <w:r w:rsidR="003C16EF" w:rsidRPr="00557D5A">
        <w:rPr>
          <w:rFonts w:ascii="Arial" w:hAnsi="Arial" w:cs="Arial"/>
        </w:rPr>
        <w:t>fond</w:t>
      </w:r>
      <w:r w:rsidRPr="00557D5A">
        <w:rPr>
          <w:rFonts w:ascii="Arial" w:hAnsi="Arial" w:cs="Arial"/>
        </w:rPr>
        <w:t xml:space="preserve"> du lac Kenai parcourant jusqu’à 1525 m, atteignant parfois la rive opposée. L’eau</w:t>
      </w:r>
      <w:r>
        <w:rPr>
          <w:rFonts w:ascii="Arial" w:hAnsi="Arial" w:cs="Arial"/>
        </w:rPr>
        <w:t xml:space="preserve"> de mer a ensuite envahie les vides laissés par la masse des glissements formant des vagues de remblai. Certaines de ces vagues ont atteint une hauteur de 9 m et ont parcouru jusqu’à 90 m à l’intérieur des terres, provoquant des dommages à la végétation, entre autres, en déracinant plusieurs arbres robustes. Des vagues plus éloignées se sont aussi formées par le mouvement de glissement des débris, frappant la côte opposée avec une force tout autant destructrice. De plus, le séisme a aussi favorisé la formation de seiches, soit des oscillations périodiques de l’eau, endommageant les rives avec, toutefois, une plus faible intensité. Ces vagues avaient une hauteur moyenne de 5 à 6 m. (</w:t>
      </w:r>
      <w:r w:rsidRPr="00EC47A4">
        <w:rPr>
          <w:rFonts w:ascii="Arial" w:hAnsi="Arial" w:cs="Arial"/>
        </w:rPr>
        <w:t>McCulloch S. D.</w:t>
      </w:r>
      <w:r>
        <w:rPr>
          <w:rFonts w:ascii="Arial" w:hAnsi="Arial" w:cs="Arial"/>
        </w:rPr>
        <w:t>, 1966)</w:t>
      </w:r>
    </w:p>
    <w:p w:rsidR="00EA32B7" w:rsidRDefault="00620B6E" w:rsidP="00EA32B7">
      <w:pPr>
        <w:spacing w:line="360" w:lineRule="auto"/>
        <w:jc w:val="both"/>
        <w:rPr>
          <w:rFonts w:ascii="Arial" w:hAnsi="Arial" w:cs="Arial"/>
        </w:rPr>
      </w:pPr>
      <w:r>
        <w:rPr>
          <w:rFonts w:ascii="Arial" w:hAnsi="Arial" w:cs="Arial"/>
          <w:noProof/>
          <w:lang w:eastAsia="fr-CA"/>
        </w:rPr>
        <w:drawing>
          <wp:anchor distT="0" distB="0" distL="114300" distR="114300" simplePos="0" relativeHeight="251673600" behindDoc="0" locked="0" layoutInCell="1" allowOverlap="1">
            <wp:simplePos x="0" y="0"/>
            <wp:positionH relativeFrom="column">
              <wp:posOffset>-28575</wp:posOffset>
            </wp:positionH>
            <wp:positionV relativeFrom="paragraph">
              <wp:posOffset>12700</wp:posOffset>
            </wp:positionV>
            <wp:extent cx="3419475" cy="3105150"/>
            <wp:effectExtent l="0" t="0" r="9525" b="0"/>
            <wp:wrapSquare wrapText="bothSides"/>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nag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9475" cy="3105150"/>
                    </a:xfrm>
                    <a:prstGeom prst="rect">
                      <a:avLst/>
                    </a:prstGeom>
                  </pic:spPr>
                </pic:pic>
              </a:graphicData>
            </a:graphic>
          </wp:anchor>
        </w:drawing>
      </w:r>
      <w:r w:rsidR="00AD0F73" w:rsidRPr="00AD0F73">
        <w:rPr>
          <w:noProof/>
        </w:rPr>
        <w:pict>
          <v:shape id="Zone de texte 21" o:spid="_x0000_s1031" type="#_x0000_t202" style="position:absolute;left:0;text-align:left;margin-left:-2.25pt;margin-top:250pt;width:269.25pt;height:.0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" stroked="f">
            <v:textbox style="mso-fit-shape-to-text:t" inset="0,0,0,0">
              <w:txbxContent>
                <w:p w:rsidR="00620B6E" w:rsidRPr="00620B6E" w:rsidRDefault="00620B6E" w:rsidP="00620B6E">
                  <w:pPr>
                    <w:pStyle w:val="Lgende"/>
                    <w:jc w:val="center"/>
                    <w:rPr>
                      <w:rFonts w:ascii="Arial" w:hAnsi="Arial" w:cs="Arial"/>
                      <w:noProof/>
                      <w:color w:val="auto"/>
                    </w:rPr>
                  </w:pPr>
                  <w:bookmarkStart w:id="21" w:name="_Toc382561272"/>
                  <w:r w:rsidRPr="00620B6E">
                    <w:rPr>
                      <w:color w:val="auto"/>
                    </w:rPr>
                    <w:t xml:space="preserve">Figure </w:t>
                  </w:r>
                  <w:r w:rsidR="00AD0F73" w:rsidRPr="00620B6E">
                    <w:rPr>
                      <w:color w:val="auto"/>
                    </w:rPr>
                    <w:fldChar w:fldCharType="begin"/>
                  </w:r>
                  <w:r w:rsidRPr="00620B6E">
                    <w:rPr>
                      <w:color w:val="auto"/>
                    </w:rPr>
                    <w:instrText xml:space="preserve"> SEQ Figure \* ARABIC </w:instrText>
                  </w:r>
                  <w:r w:rsidR="00AD0F73" w:rsidRPr="00620B6E">
                    <w:rPr>
                      <w:color w:val="auto"/>
                    </w:rPr>
                    <w:fldChar w:fldCharType="separate"/>
                  </w:r>
                  <w:r w:rsidRPr="00620B6E">
                    <w:rPr>
                      <w:noProof/>
                      <w:color w:val="auto"/>
                    </w:rPr>
                    <w:t>8</w:t>
                  </w:r>
                  <w:r w:rsidR="00AD0F73" w:rsidRPr="00620B6E">
                    <w:rPr>
                      <w:color w:val="auto"/>
                    </w:rPr>
                    <w:fldChar w:fldCharType="end"/>
                  </w:r>
                  <w:r w:rsidRPr="00620B6E">
                    <w:rPr>
                      <w:color w:val="auto"/>
                    </w:rPr>
                    <w:t xml:space="preserve"> : Carte illustrant les dommages causés aux rives dans la région de Chenaga Cove (McCulloch S. D., 1966)</w:t>
                  </w:r>
                  <w:bookmarkEnd w:id="21"/>
                </w:p>
              </w:txbxContent>
            </v:textbox>
            <w10:wrap type="square"/>
          </v:shape>
        </w:pict>
      </w:r>
      <w:r w:rsidR="00EA32B7">
        <w:rPr>
          <w:rFonts w:ascii="Arial" w:hAnsi="Arial" w:cs="Arial"/>
        </w:rPr>
        <w:t xml:space="preserve">À Chenaga </w:t>
      </w:r>
      <w:r w:rsidR="00EA32B7" w:rsidRPr="00336C98">
        <w:rPr>
          <w:rFonts w:ascii="Arial" w:hAnsi="Arial" w:cs="Arial"/>
        </w:rPr>
        <w:t xml:space="preserve">Cove (figure </w:t>
      </w:r>
      <w:r w:rsidR="00EA32B7">
        <w:rPr>
          <w:rFonts w:ascii="Arial" w:hAnsi="Arial" w:cs="Arial"/>
        </w:rPr>
        <w:t>6</w:t>
      </w:r>
      <w:r w:rsidR="00EA32B7" w:rsidRPr="00336C98">
        <w:rPr>
          <w:rFonts w:ascii="Arial" w:hAnsi="Arial" w:cs="Arial"/>
        </w:rPr>
        <w:t>),</w:t>
      </w:r>
      <w:r w:rsidR="00EA32B7">
        <w:rPr>
          <w:rFonts w:ascii="Arial" w:hAnsi="Arial" w:cs="Arial"/>
        </w:rPr>
        <w:t xml:space="preserve"> près du lac Kenai, le séisme a provoqué un tsunami tectonique, formé par des mouvements verticaux et horizontaux du sol. L’amplitude du déplacement tectonique ainsi que l’orientation et la configuration des rives sont les principaux facteurs générant les vagues de cette région. Des déplacements horizontaux d’environ 6 m près de Whittier jusqu’à 18 m près de Evans et les îles Latouche ont été ob</w:t>
      </w:r>
      <w:r w:rsidR="003C16EF">
        <w:rPr>
          <w:rFonts w:ascii="Arial" w:hAnsi="Arial" w:cs="Arial"/>
        </w:rPr>
        <w:t xml:space="preserve">servés. Des témoins </w:t>
      </w:r>
      <w:r w:rsidR="003C16EF" w:rsidRPr="00557D5A">
        <w:rPr>
          <w:rFonts w:ascii="Arial" w:hAnsi="Arial" w:cs="Arial"/>
        </w:rPr>
        <w:t>ont affirmé</w:t>
      </w:r>
      <w:r w:rsidR="00EA32B7" w:rsidRPr="00557D5A">
        <w:rPr>
          <w:rFonts w:ascii="Arial" w:hAnsi="Arial" w:cs="Arial"/>
        </w:rPr>
        <w:t xml:space="preserve"> que la vague est apparue après environ 1 à 1,5 minutes suite à un recul important d’environ</w:t>
      </w:r>
      <w:r w:rsidR="00EA32B7">
        <w:rPr>
          <w:rFonts w:ascii="Arial" w:hAnsi="Arial" w:cs="Arial"/>
        </w:rPr>
        <w:t xml:space="preserve"> 275 m de l’eau de la crique. Une seconde </w:t>
      </w:r>
      <w:r w:rsidR="00EA32B7">
        <w:rPr>
          <w:rFonts w:ascii="Arial" w:hAnsi="Arial" w:cs="Arial"/>
        </w:rPr>
        <w:lastRenderedPageBreak/>
        <w:t xml:space="preserve">vague a déferlé après seulement 4 minutes suivant la secousse, avec une hauteur beaucoup plus élevée que la première. Cette dernière avait une hauteur de 10,7 m causant des dommages matériels et la mort de 23 personnes. La </w:t>
      </w:r>
      <w:r w:rsidR="00EA32B7" w:rsidRPr="00336C98">
        <w:rPr>
          <w:rFonts w:ascii="Arial" w:hAnsi="Arial" w:cs="Arial"/>
        </w:rPr>
        <w:t xml:space="preserve">figure </w:t>
      </w:r>
      <w:r w:rsidR="00EA32B7">
        <w:rPr>
          <w:rFonts w:ascii="Arial" w:hAnsi="Arial" w:cs="Arial"/>
        </w:rPr>
        <w:t>8 illustre les dommages que les vagues ont pu causer aux rives de la région. (Nicolsky D.J., Suleimani E.N. et Hansen R.A., 2013)</w:t>
      </w:r>
    </w:p>
    <w:p w:rsidR="00EA32B7" w:rsidRPr="00E77FC7" w:rsidRDefault="00EA32B7" w:rsidP="00EA32B7">
      <w:pPr>
        <w:pStyle w:val="Titre1"/>
        <w:rPr>
          <w:rFonts w:ascii="Arial" w:hAnsi="Arial" w:cs="Arial"/>
          <w:color w:val="000000" w:themeColor="text1"/>
          <w:lang w:val="fr-FR"/>
        </w:rPr>
      </w:pPr>
      <w:bookmarkStart w:id="22" w:name="_Toc382388319"/>
      <w:bookmarkStart w:id="23" w:name="_Toc382561263"/>
      <w:r w:rsidRPr="00E77FC7">
        <w:rPr>
          <w:rFonts w:ascii="Arial" w:hAnsi="Arial" w:cs="Arial"/>
          <w:color w:val="000000" w:themeColor="text1"/>
          <w:lang w:val="fr-FR"/>
        </w:rPr>
        <w:t>Conclusion</w:t>
      </w:r>
      <w:bookmarkEnd w:id="22"/>
      <w:bookmarkEnd w:id="23"/>
    </w:p>
    <w:p w:rsidR="00EA32B7" w:rsidRDefault="00EA32B7" w:rsidP="00EA32B7">
      <w:pPr>
        <w:spacing w:before="120" w:line="360" w:lineRule="auto"/>
        <w:jc w:val="both"/>
        <w:rPr>
          <w:rFonts w:ascii="Arial" w:hAnsi="Arial" w:cs="Arial"/>
          <w:lang w:val="fr-FR"/>
        </w:rPr>
      </w:pPr>
      <w:r>
        <w:rPr>
          <w:rFonts w:ascii="Arial" w:hAnsi="Arial" w:cs="Arial"/>
          <w:lang w:val="fr-FR"/>
        </w:rPr>
        <w:t xml:space="preserve">Le contexte géodynamique présent dans la partie sud de l’Alaska est complexe et toujours actif. C’est la subduction de la plaque Pacifique sous la plaque Nord-Américaine qui rend la région sensible au volcanisme et aux tremblements de terre. De plus, la </w:t>
      </w:r>
      <w:r w:rsidRPr="00557D5A">
        <w:rPr>
          <w:rFonts w:ascii="Arial" w:hAnsi="Arial" w:cs="Arial"/>
          <w:lang w:val="fr-FR"/>
        </w:rPr>
        <w:t>microplaque de Yakutat et plusieurs failles de la région compliquent la géod</w:t>
      </w:r>
      <w:r w:rsidR="003C16EF" w:rsidRPr="00557D5A">
        <w:rPr>
          <w:rFonts w:ascii="Arial" w:hAnsi="Arial" w:cs="Arial"/>
          <w:lang w:val="fr-FR"/>
        </w:rPr>
        <w:t>ynamique de ce coin du monde. Le point</w:t>
      </w:r>
      <w:r w:rsidRPr="00557D5A">
        <w:rPr>
          <w:rFonts w:ascii="Arial" w:hAnsi="Arial" w:cs="Arial"/>
          <w:lang w:val="fr-FR"/>
        </w:rPr>
        <w:t xml:space="preserve"> triple des plaques Pacifique, Nord-Américaine et de Yakutat </w:t>
      </w:r>
      <w:r w:rsidR="003C16EF" w:rsidRPr="00557D5A">
        <w:rPr>
          <w:rFonts w:ascii="Arial" w:hAnsi="Arial" w:cs="Arial"/>
          <w:lang w:val="fr-FR"/>
        </w:rPr>
        <w:t>sont responsables</w:t>
      </w:r>
      <w:r w:rsidRPr="00557D5A">
        <w:rPr>
          <w:rFonts w:ascii="Arial" w:hAnsi="Arial" w:cs="Arial"/>
          <w:lang w:val="fr-FR"/>
        </w:rPr>
        <w:t xml:space="preserve"> </w:t>
      </w:r>
      <w:r w:rsidR="003C16EF" w:rsidRPr="00557D5A">
        <w:rPr>
          <w:rFonts w:ascii="Arial" w:hAnsi="Arial" w:cs="Arial"/>
          <w:lang w:val="fr-FR"/>
        </w:rPr>
        <w:t>d’</w:t>
      </w:r>
      <w:r w:rsidRPr="00557D5A">
        <w:rPr>
          <w:rFonts w:ascii="Arial" w:hAnsi="Arial" w:cs="Arial"/>
          <w:lang w:val="fr-FR"/>
        </w:rPr>
        <w:t xml:space="preserve">une partie importante de l’accumulation des tensions dans la région. La tension accumulée dans les failles </w:t>
      </w:r>
      <w:r w:rsidR="00C20AC7" w:rsidRPr="00557D5A">
        <w:rPr>
          <w:rFonts w:ascii="Arial" w:hAnsi="Arial" w:cs="Arial"/>
          <w:lang w:val="fr-FR"/>
        </w:rPr>
        <w:t xml:space="preserve">se </w:t>
      </w:r>
      <w:r w:rsidRPr="00557D5A">
        <w:rPr>
          <w:rFonts w:ascii="Arial" w:hAnsi="Arial" w:cs="Arial"/>
          <w:lang w:val="fr-FR"/>
        </w:rPr>
        <w:t xml:space="preserve">décharge par tremblements de terre à un intervalle de dizaine à </w:t>
      </w:r>
      <w:r w:rsidR="00C20AC7" w:rsidRPr="00557D5A">
        <w:rPr>
          <w:rFonts w:ascii="Arial" w:hAnsi="Arial" w:cs="Arial"/>
          <w:lang w:val="fr-FR"/>
        </w:rPr>
        <w:t xml:space="preserve">une </w:t>
      </w:r>
      <w:r w:rsidRPr="00557D5A">
        <w:rPr>
          <w:rFonts w:ascii="Arial" w:hAnsi="Arial" w:cs="Arial"/>
          <w:lang w:val="fr-FR"/>
        </w:rPr>
        <w:t>centaine des années.</w:t>
      </w:r>
    </w:p>
    <w:p w:rsidR="00EA32B7" w:rsidRPr="00557D5A" w:rsidRDefault="00EA32B7" w:rsidP="00EA32B7">
      <w:pPr>
        <w:spacing w:line="360" w:lineRule="auto"/>
        <w:jc w:val="both"/>
        <w:rPr>
          <w:rFonts w:ascii="Arial" w:hAnsi="Arial" w:cs="Arial"/>
          <w:lang w:val="fr-FR"/>
        </w:rPr>
      </w:pPr>
      <w:r>
        <w:rPr>
          <w:rFonts w:ascii="Arial" w:hAnsi="Arial" w:cs="Arial"/>
          <w:lang w:val="fr-FR"/>
        </w:rPr>
        <w:t xml:space="preserve">Le tremblement récent le plus puissant d’une magnitude de 9.2 a secoué la région le 27 mars 1964. Ce tremblement a causé la destruction matérielle des plusieurs villes du secteur par déplacement des blocs de roche, glissements de terrain et une série importante </w:t>
      </w:r>
      <w:r w:rsidRPr="00557D5A">
        <w:rPr>
          <w:rFonts w:ascii="Arial" w:hAnsi="Arial" w:cs="Arial"/>
          <w:lang w:val="fr-FR"/>
        </w:rPr>
        <w:t>des tsunamis. L’événement a causé le décès de 131 personnes et des dégâts matériels de 300 million</w:t>
      </w:r>
      <w:r w:rsidR="00C20AC7" w:rsidRPr="00557D5A">
        <w:rPr>
          <w:rFonts w:ascii="Arial" w:hAnsi="Arial" w:cs="Arial"/>
          <w:lang w:val="fr-FR"/>
        </w:rPr>
        <w:t>s</w:t>
      </w:r>
      <w:r w:rsidRPr="00557D5A">
        <w:rPr>
          <w:rFonts w:ascii="Arial" w:hAnsi="Arial" w:cs="Arial"/>
          <w:lang w:val="fr-FR"/>
        </w:rPr>
        <w:t xml:space="preserve"> de dollars américains. Ce tremblement est jusqu’à aujourd’hui le deuxième plus puissan</w:t>
      </w:r>
      <w:r w:rsidR="00C20AC7" w:rsidRPr="00557D5A">
        <w:rPr>
          <w:rFonts w:ascii="Arial" w:hAnsi="Arial" w:cs="Arial"/>
          <w:lang w:val="fr-FR"/>
        </w:rPr>
        <w:t>t au monde après celui du Chili</w:t>
      </w:r>
      <w:r w:rsidRPr="00557D5A">
        <w:rPr>
          <w:rFonts w:ascii="Arial" w:hAnsi="Arial" w:cs="Arial"/>
          <w:lang w:val="fr-FR"/>
        </w:rPr>
        <w:t xml:space="preserve"> </w:t>
      </w:r>
      <w:r w:rsidR="00C20AC7" w:rsidRPr="00557D5A">
        <w:rPr>
          <w:rFonts w:ascii="Arial" w:hAnsi="Arial" w:cs="Arial"/>
          <w:lang w:val="fr-FR"/>
        </w:rPr>
        <w:t>en 1960 et suivi de peu par le séisme de magnitude 9,0 du 11 mars 2011 au Japon</w:t>
      </w:r>
      <w:r w:rsidR="00B41164" w:rsidRPr="00557D5A">
        <w:rPr>
          <w:rFonts w:ascii="Arial" w:hAnsi="Arial" w:cs="Arial"/>
          <w:lang w:val="fr-FR"/>
        </w:rPr>
        <w:t>.</w:t>
      </w:r>
      <w:r w:rsidR="00C20AC7" w:rsidRPr="00557D5A">
        <w:rPr>
          <w:rFonts w:ascii="Arial" w:hAnsi="Arial" w:cs="Arial"/>
          <w:lang w:val="fr-FR"/>
        </w:rPr>
        <w:t xml:space="preserve"> </w:t>
      </w:r>
    </w:p>
    <w:p w:rsidR="00EA32B7" w:rsidRDefault="00EA32B7" w:rsidP="00EA32B7">
      <w:pPr>
        <w:spacing w:line="360" w:lineRule="auto"/>
        <w:jc w:val="both"/>
        <w:rPr>
          <w:lang w:val="fr-FR"/>
        </w:rPr>
      </w:pPr>
      <w:r w:rsidRPr="00557D5A">
        <w:rPr>
          <w:rFonts w:ascii="Arial" w:hAnsi="Arial" w:cs="Arial"/>
          <w:lang w:val="fr-FR"/>
        </w:rPr>
        <w:t>La subduction de la plaque Pacifique reste toujours active. En conséquence</w:t>
      </w:r>
      <w:r>
        <w:rPr>
          <w:rFonts w:ascii="Arial" w:hAnsi="Arial" w:cs="Arial"/>
          <w:lang w:val="fr-FR"/>
        </w:rPr>
        <w:t>, la tension s’accumule dans les failles du sud de l’Alaska présentement. Il faut ainsi s’attendre à ce qu’un prochain tremblement de terre affecte cette région et espérer qu’il ne sera pas autant destructeur.</w:t>
      </w:r>
      <w:r>
        <w:rPr>
          <w:lang w:val="fr-FR"/>
        </w:rPr>
        <w:tab/>
      </w:r>
    </w:p>
    <w:p w:rsidR="00EA32B7" w:rsidRPr="00275AE9" w:rsidRDefault="00EA32B7" w:rsidP="00EA32B7">
      <w:pPr>
        <w:rPr>
          <w:lang w:val="fr-FR"/>
        </w:rPr>
      </w:pPr>
      <w:r>
        <w:rPr>
          <w:lang w:val="fr-FR"/>
        </w:rPr>
        <w:br w:type="page"/>
      </w:r>
    </w:p>
    <w:p w:rsidR="00EA32B7" w:rsidRDefault="00EA32B7" w:rsidP="00EA32B7">
      <w:pPr>
        <w:pStyle w:val="Titre1"/>
        <w:rPr>
          <w:rFonts w:ascii="Arial" w:hAnsi="Arial" w:cs="Arial"/>
          <w:color w:val="auto"/>
          <w:lang w:val="en-CA"/>
        </w:rPr>
      </w:pPr>
      <w:bookmarkStart w:id="24" w:name="_Toc382388320"/>
      <w:bookmarkStart w:id="25" w:name="_Toc382561264"/>
      <w:r w:rsidRPr="004334B6">
        <w:rPr>
          <w:rFonts w:ascii="Arial" w:hAnsi="Arial" w:cs="Arial"/>
          <w:color w:val="auto"/>
          <w:lang w:val="en-CA"/>
        </w:rPr>
        <w:lastRenderedPageBreak/>
        <w:t>Références</w:t>
      </w:r>
      <w:bookmarkEnd w:id="24"/>
      <w:bookmarkEnd w:id="25"/>
    </w:p>
    <w:p w:rsidR="00EA32B7" w:rsidRPr="004334B6" w:rsidRDefault="00EA32B7" w:rsidP="00EA32B7">
      <w:pPr>
        <w:rPr>
          <w:lang w:val="en-CA"/>
        </w:rPr>
      </w:pPr>
    </w:p>
    <w:p w:rsidR="00EA32B7" w:rsidRPr="004334B6" w:rsidRDefault="00EA32B7" w:rsidP="004E785B">
      <w:pPr>
        <w:rPr>
          <w:rFonts w:ascii="Arial" w:hAnsi="Arial" w:cs="Arial"/>
          <w:sz w:val="18"/>
          <w:szCs w:val="18"/>
        </w:rPr>
      </w:pPr>
      <w:r w:rsidRPr="004334B6">
        <w:rPr>
          <w:rFonts w:ascii="Arial" w:hAnsi="Arial" w:cs="Arial"/>
          <w:b/>
          <w:sz w:val="18"/>
          <w:szCs w:val="18"/>
          <w:lang w:val="en-CA"/>
        </w:rPr>
        <w:t>AEIC; Alaska Earthquake Information Center (2002).</w:t>
      </w:r>
      <w:r w:rsidRPr="004334B6">
        <w:rPr>
          <w:rFonts w:ascii="Arial" w:hAnsi="Arial" w:cs="Arial"/>
          <w:sz w:val="18"/>
          <w:szCs w:val="18"/>
          <w:lang w:val="en-CA"/>
        </w:rPr>
        <w:t xml:space="preserve"> </w:t>
      </w:r>
      <w:r w:rsidRPr="004334B6">
        <w:rPr>
          <w:rFonts w:ascii="Arial" w:hAnsi="Arial" w:cs="Arial"/>
          <w:i/>
          <w:sz w:val="18"/>
          <w:szCs w:val="18"/>
          <w:lang w:val="en-CA"/>
        </w:rPr>
        <w:t xml:space="preserve">The Great Alaska Earthquake of 1964. </w:t>
      </w:r>
      <w:r w:rsidRPr="004334B6">
        <w:rPr>
          <w:rFonts w:ascii="Arial" w:hAnsi="Arial" w:cs="Arial"/>
          <w:sz w:val="18"/>
          <w:szCs w:val="18"/>
        </w:rPr>
        <w:t>Page consultée le 10 mars 2014. [En ligne]. URL: http://www.aeic.alaska.edu/quakes/Alaska_1964_earthquake.html</w:t>
      </w:r>
    </w:p>
    <w:p w:rsidR="00EA32B7" w:rsidRPr="004334B6" w:rsidRDefault="00EA32B7" w:rsidP="00EA32B7">
      <w:pPr>
        <w:spacing w:line="100" w:lineRule="atLeast"/>
        <w:jc w:val="both"/>
        <w:rPr>
          <w:rFonts w:ascii="Arial" w:hAnsi="Arial" w:cs="Arial"/>
          <w:b/>
          <w:bCs/>
          <w:color w:val="00000A"/>
          <w:sz w:val="18"/>
          <w:szCs w:val="18"/>
          <w:lang w:val="en-CA"/>
        </w:rPr>
      </w:pPr>
      <w:r w:rsidRPr="004334B6">
        <w:rPr>
          <w:rFonts w:ascii="Arial" w:hAnsi="Arial" w:cs="Arial"/>
          <w:b/>
          <w:bCs/>
          <w:color w:val="00000A"/>
          <w:sz w:val="18"/>
          <w:szCs w:val="18"/>
          <w:lang w:val="en-CA"/>
        </w:rPr>
        <w:t>Ali, S. T., &amp; Freed, A. M. (2010).</w:t>
      </w:r>
      <w:r w:rsidRPr="004334B6">
        <w:rPr>
          <w:rFonts w:ascii="Arial" w:hAnsi="Arial" w:cs="Arial"/>
          <w:b/>
          <w:color w:val="00000A"/>
          <w:sz w:val="18"/>
          <w:szCs w:val="18"/>
          <w:lang w:val="en-CA"/>
        </w:rPr>
        <w:t xml:space="preserve"> </w:t>
      </w:r>
      <w:r w:rsidRPr="004334B6">
        <w:rPr>
          <w:rFonts w:ascii="Arial" w:hAnsi="Arial" w:cs="Arial"/>
          <w:i/>
          <w:iCs/>
          <w:color w:val="00000A"/>
          <w:sz w:val="18"/>
          <w:szCs w:val="18"/>
          <w:lang w:val="en-CA"/>
        </w:rPr>
        <w:t>Contemporary deformation and stressing rates in southern alaska</w:t>
      </w:r>
      <w:r w:rsidRPr="004334B6">
        <w:rPr>
          <w:rFonts w:ascii="Arial" w:hAnsi="Arial" w:cs="Arial"/>
          <w:color w:val="00000A"/>
          <w:sz w:val="18"/>
          <w:szCs w:val="18"/>
          <w:lang w:val="en-CA"/>
        </w:rPr>
        <w:t>. Geophysical Journal International</w:t>
      </w:r>
      <w:r w:rsidRPr="004334B6">
        <w:rPr>
          <w:rFonts w:ascii="Arial" w:hAnsi="Arial" w:cs="Arial"/>
          <w:i/>
          <w:color w:val="00000A"/>
          <w:sz w:val="18"/>
          <w:szCs w:val="18"/>
          <w:lang w:val="en-CA"/>
        </w:rPr>
        <w:t>, 183</w:t>
      </w:r>
      <w:r w:rsidRPr="004334B6">
        <w:rPr>
          <w:rFonts w:ascii="Arial" w:hAnsi="Arial" w:cs="Arial"/>
          <w:color w:val="00000A"/>
          <w:sz w:val="18"/>
          <w:szCs w:val="18"/>
          <w:lang w:val="en-CA"/>
        </w:rPr>
        <w:t xml:space="preserve">(2), 557-571. </w:t>
      </w:r>
    </w:p>
    <w:p w:rsidR="00EA32B7" w:rsidRDefault="00EA32B7" w:rsidP="00EA32B7">
      <w:pPr>
        <w:pStyle w:val="Corpsdetexte"/>
        <w:spacing w:after="0" w:line="100" w:lineRule="atLeast"/>
        <w:jc w:val="both"/>
        <w:rPr>
          <w:rFonts w:ascii="Arial" w:hAnsi="Arial" w:cs="Arial"/>
          <w:color w:val="00000A"/>
          <w:sz w:val="18"/>
          <w:szCs w:val="18"/>
        </w:rPr>
      </w:pPr>
      <w:r w:rsidRPr="004334B6">
        <w:rPr>
          <w:rFonts w:ascii="Arial" w:hAnsi="Arial" w:cs="Arial"/>
          <w:b/>
          <w:bCs/>
          <w:color w:val="00000A"/>
          <w:sz w:val="18"/>
          <w:szCs w:val="18"/>
        </w:rPr>
        <w:t>Christeson, G. L., Gulick, S. P. S., Avendonk, H. J. A., Worthington, L. L., Reece, R. S., &amp; Pavlis, T. L. (2010).</w:t>
      </w:r>
      <w:r w:rsidRPr="004334B6">
        <w:rPr>
          <w:rFonts w:ascii="Arial" w:hAnsi="Arial" w:cs="Arial"/>
          <w:color w:val="00000A"/>
          <w:sz w:val="18"/>
          <w:szCs w:val="18"/>
        </w:rPr>
        <w:t xml:space="preserve"> </w:t>
      </w:r>
      <w:r w:rsidRPr="004334B6">
        <w:rPr>
          <w:rFonts w:ascii="Arial" w:hAnsi="Arial" w:cs="Arial"/>
          <w:i/>
          <w:iCs/>
          <w:color w:val="00000A"/>
          <w:sz w:val="18"/>
          <w:szCs w:val="18"/>
        </w:rPr>
        <w:t>The yakutat terrane: Dramatic change in crustal thickness across the transition fault</w:t>
      </w:r>
      <w:r w:rsidRPr="004334B6">
        <w:rPr>
          <w:rFonts w:ascii="Arial" w:hAnsi="Arial" w:cs="Arial"/>
          <w:color w:val="00000A"/>
          <w:sz w:val="18"/>
          <w:szCs w:val="18"/>
        </w:rPr>
        <w:t>, alaska. </w:t>
      </w:r>
      <w:r w:rsidRPr="004334B6">
        <w:rPr>
          <w:rFonts w:ascii="Arial" w:hAnsi="Arial" w:cs="Arial"/>
          <w:i/>
          <w:color w:val="00000A"/>
          <w:sz w:val="18"/>
          <w:szCs w:val="18"/>
        </w:rPr>
        <w:t>Geology, 38</w:t>
      </w:r>
      <w:r w:rsidRPr="004334B6">
        <w:rPr>
          <w:rFonts w:ascii="Arial" w:hAnsi="Arial" w:cs="Arial"/>
          <w:color w:val="00000A"/>
          <w:sz w:val="18"/>
          <w:szCs w:val="18"/>
        </w:rPr>
        <w:t xml:space="preserve">(10), 895-898. </w:t>
      </w:r>
    </w:p>
    <w:p w:rsidR="005E6ADC" w:rsidRDefault="005E6ADC" w:rsidP="00EA32B7">
      <w:pPr>
        <w:pStyle w:val="Corpsdetexte"/>
        <w:spacing w:after="0" w:line="100" w:lineRule="atLeast"/>
        <w:jc w:val="both"/>
        <w:rPr>
          <w:rFonts w:ascii="Arial" w:hAnsi="Arial" w:cs="Arial"/>
          <w:color w:val="00000A"/>
          <w:sz w:val="18"/>
          <w:szCs w:val="18"/>
        </w:rPr>
      </w:pPr>
    </w:p>
    <w:p w:rsidR="005E6ADC" w:rsidRPr="005E6ADC" w:rsidRDefault="005E6ADC" w:rsidP="005E6ADC">
      <w:pPr>
        <w:spacing w:after="0" w:line="100" w:lineRule="atLeast"/>
        <w:jc w:val="both"/>
        <w:rPr>
          <w:rFonts w:ascii="Arial" w:hAnsi="Arial" w:cs="Arial"/>
          <w:bCs/>
          <w:color w:val="00000A"/>
          <w:sz w:val="18"/>
          <w:szCs w:val="18"/>
          <w:lang w:val="en-CA"/>
        </w:rPr>
      </w:pPr>
      <w:r w:rsidRPr="005E6ADC">
        <w:rPr>
          <w:rFonts w:ascii="Arial" w:hAnsi="Arial" w:cs="Arial"/>
          <w:b/>
          <w:bCs/>
          <w:color w:val="00000A"/>
          <w:sz w:val="18"/>
          <w:szCs w:val="18"/>
          <w:lang w:val="en-CA"/>
        </w:rPr>
        <w:t>Dusel-Bacon, C. (1994). In Plafker G., Berg H. C. (Eds.),</w:t>
      </w:r>
      <w:r w:rsidRPr="005E6ADC">
        <w:rPr>
          <w:rFonts w:ascii="Arial" w:hAnsi="Arial" w:cs="Arial"/>
          <w:b/>
          <w:bCs/>
          <w:color w:val="00000A"/>
          <w:lang w:val="en-CA"/>
        </w:rPr>
        <w:t> </w:t>
      </w:r>
      <w:r w:rsidRPr="005E6ADC">
        <w:rPr>
          <w:rFonts w:ascii="Arial" w:hAnsi="Arial" w:cs="Arial"/>
          <w:bCs/>
          <w:i/>
          <w:color w:val="00000A"/>
          <w:sz w:val="18"/>
          <w:szCs w:val="18"/>
          <w:lang w:val="en-CA"/>
        </w:rPr>
        <w:t>Metamorphic history of alaska</w:t>
      </w:r>
      <w:r>
        <w:rPr>
          <w:rFonts w:ascii="Arial" w:hAnsi="Arial" w:cs="Arial"/>
          <w:bCs/>
          <w:i/>
          <w:color w:val="00000A"/>
          <w:sz w:val="18"/>
          <w:szCs w:val="18"/>
          <w:lang w:val="en-CA"/>
        </w:rPr>
        <w:t>.</w:t>
      </w:r>
      <w:r w:rsidRPr="005E6ADC">
        <w:rPr>
          <w:rFonts w:ascii="Arial" w:hAnsi="Arial" w:cs="Arial"/>
          <w:b/>
          <w:bCs/>
          <w:color w:val="00000A"/>
          <w:lang w:val="en-CA"/>
        </w:rPr>
        <w:t> </w:t>
      </w:r>
      <w:r w:rsidRPr="005E6ADC">
        <w:rPr>
          <w:rFonts w:ascii="Arial" w:hAnsi="Arial" w:cs="Arial"/>
          <w:bCs/>
          <w:color w:val="00000A"/>
          <w:sz w:val="18"/>
          <w:szCs w:val="18"/>
          <w:lang w:val="en-CA"/>
        </w:rPr>
        <w:t>Geological Society of America, Boulder, CO.</w:t>
      </w:r>
    </w:p>
    <w:p w:rsidR="00EA32B7" w:rsidRPr="004334B6" w:rsidRDefault="00EA32B7" w:rsidP="00EA32B7">
      <w:pPr>
        <w:pStyle w:val="Corpsdetexte"/>
        <w:spacing w:after="0" w:line="100" w:lineRule="atLeast"/>
        <w:jc w:val="both"/>
        <w:rPr>
          <w:rFonts w:ascii="Arial" w:hAnsi="Arial" w:cs="Arial"/>
          <w:sz w:val="18"/>
          <w:szCs w:val="18"/>
        </w:rPr>
      </w:pPr>
    </w:p>
    <w:p w:rsidR="00EA32B7" w:rsidRPr="004334B6" w:rsidRDefault="00EA32B7" w:rsidP="00EA32B7">
      <w:pPr>
        <w:spacing w:after="0" w:line="100" w:lineRule="atLeast"/>
        <w:jc w:val="both"/>
        <w:rPr>
          <w:rFonts w:ascii="Arial" w:hAnsi="Arial" w:cs="Arial"/>
          <w:sz w:val="18"/>
          <w:szCs w:val="18"/>
          <w:lang w:val="en-CA"/>
        </w:rPr>
      </w:pPr>
      <w:r w:rsidRPr="004334B6">
        <w:rPr>
          <w:rFonts w:ascii="Arial" w:hAnsi="Arial" w:cs="Arial"/>
          <w:b/>
          <w:bCs/>
          <w:color w:val="00000A"/>
          <w:sz w:val="18"/>
          <w:szCs w:val="18"/>
          <w:lang w:val="en-CA"/>
        </w:rPr>
        <w:t>Gulick, S. P. S., Reece, R. S., Christeson, G. L., van Avendonk, H., Worthington, L. L., &amp; Pavlis, T. L. (2013).</w:t>
      </w:r>
      <w:r w:rsidRPr="004334B6">
        <w:rPr>
          <w:rFonts w:ascii="Arial" w:hAnsi="Arial" w:cs="Arial"/>
          <w:color w:val="00000A"/>
          <w:sz w:val="18"/>
          <w:szCs w:val="18"/>
          <w:lang w:val="en-CA"/>
        </w:rPr>
        <w:t xml:space="preserve"> </w:t>
      </w:r>
      <w:r w:rsidRPr="004334B6">
        <w:rPr>
          <w:rFonts w:ascii="Arial" w:hAnsi="Arial" w:cs="Arial"/>
          <w:i/>
          <w:iCs/>
          <w:color w:val="00000A"/>
          <w:sz w:val="18"/>
          <w:szCs w:val="18"/>
          <w:lang w:val="en-CA"/>
        </w:rPr>
        <w:t>Seismic images of the transition fault and the unstable yakutat-pacific-north american triple junction.</w:t>
      </w:r>
      <w:r w:rsidRPr="004334B6">
        <w:rPr>
          <w:rFonts w:ascii="Arial" w:hAnsi="Arial" w:cs="Arial"/>
          <w:color w:val="00000A"/>
          <w:sz w:val="18"/>
          <w:szCs w:val="18"/>
          <w:lang w:val="en-CA"/>
        </w:rPr>
        <w:t xml:space="preserve"> Geology (Boulder), 41(5), 571-574. </w:t>
      </w:r>
    </w:p>
    <w:p w:rsidR="00EA32B7" w:rsidRPr="004334B6" w:rsidRDefault="00EA32B7" w:rsidP="00EA32B7">
      <w:pPr>
        <w:spacing w:after="0" w:line="100" w:lineRule="atLeast"/>
        <w:jc w:val="both"/>
        <w:rPr>
          <w:rFonts w:ascii="Arial" w:hAnsi="Arial" w:cs="Arial"/>
          <w:sz w:val="18"/>
          <w:szCs w:val="18"/>
          <w:lang w:val="en-CA"/>
        </w:rPr>
      </w:pPr>
    </w:p>
    <w:p w:rsidR="00EA32B7" w:rsidRPr="004334B6" w:rsidRDefault="00EA32B7" w:rsidP="00EA32B7">
      <w:pPr>
        <w:pStyle w:val="Corpsdetexte"/>
        <w:spacing w:after="0" w:line="100" w:lineRule="atLeast"/>
        <w:jc w:val="both"/>
        <w:rPr>
          <w:rFonts w:ascii="Arial" w:hAnsi="Arial" w:cs="Arial"/>
          <w:sz w:val="18"/>
          <w:szCs w:val="18"/>
        </w:rPr>
      </w:pPr>
      <w:r w:rsidRPr="004334B6">
        <w:rPr>
          <w:rFonts w:ascii="Arial" w:hAnsi="Arial" w:cs="Arial"/>
          <w:b/>
          <w:bCs/>
          <w:color w:val="00000A"/>
          <w:sz w:val="18"/>
          <w:szCs w:val="18"/>
        </w:rPr>
        <w:t>Hansen, W.R., Eckel, E.B., Schaem, W.E., Lyle, R.E., George, W., and Chance, G. 1966</w:t>
      </w:r>
      <w:r w:rsidRPr="004334B6">
        <w:rPr>
          <w:rFonts w:ascii="Arial" w:hAnsi="Arial" w:cs="Arial"/>
          <w:color w:val="00000A"/>
          <w:sz w:val="18"/>
          <w:szCs w:val="18"/>
        </w:rPr>
        <w:t xml:space="preserve">, </w:t>
      </w:r>
      <w:r w:rsidRPr="004334B6">
        <w:rPr>
          <w:rFonts w:ascii="Arial" w:hAnsi="Arial" w:cs="Arial"/>
          <w:i/>
          <w:iCs/>
          <w:color w:val="00000A"/>
          <w:sz w:val="18"/>
          <w:szCs w:val="18"/>
        </w:rPr>
        <w:t>The Alaska Earthquake of March 27, 1964; field investigations and reconstruction effort</w:t>
      </w:r>
      <w:r w:rsidRPr="004334B6">
        <w:rPr>
          <w:rFonts w:ascii="Arial" w:hAnsi="Arial" w:cs="Arial"/>
          <w:color w:val="00000A"/>
          <w:sz w:val="18"/>
          <w:szCs w:val="18"/>
        </w:rPr>
        <w:t>: U.S. Geological Survey Professional Paper 541, 111 p.</w:t>
      </w:r>
    </w:p>
    <w:p w:rsidR="00EA32B7" w:rsidRPr="004334B6" w:rsidRDefault="00EA32B7" w:rsidP="00EA32B7">
      <w:pPr>
        <w:spacing w:after="0" w:line="100" w:lineRule="atLeast"/>
        <w:jc w:val="both"/>
        <w:rPr>
          <w:rFonts w:ascii="Arial" w:hAnsi="Arial" w:cs="Arial"/>
          <w:sz w:val="18"/>
          <w:szCs w:val="18"/>
          <w:lang w:val="en-CA"/>
        </w:rPr>
      </w:pPr>
    </w:p>
    <w:p w:rsidR="00EA32B7" w:rsidRPr="004334B6" w:rsidRDefault="00EA32B7" w:rsidP="00EA32B7">
      <w:pPr>
        <w:jc w:val="both"/>
        <w:rPr>
          <w:rFonts w:ascii="Arial" w:hAnsi="Arial" w:cs="Arial"/>
          <w:b/>
          <w:bCs/>
          <w:color w:val="00000A"/>
          <w:sz w:val="18"/>
          <w:szCs w:val="18"/>
          <w:lang w:val="en-CA"/>
        </w:rPr>
      </w:pPr>
      <w:r w:rsidRPr="004334B6">
        <w:rPr>
          <w:rFonts w:ascii="Arial" w:hAnsi="Arial" w:cs="Arial"/>
          <w:b/>
          <w:sz w:val="18"/>
          <w:szCs w:val="18"/>
          <w:lang w:val="en-CA"/>
        </w:rPr>
        <w:t>McCulloch S. D. (1966).</w:t>
      </w:r>
      <w:r w:rsidRPr="004334B6">
        <w:rPr>
          <w:rFonts w:ascii="Arial" w:hAnsi="Arial" w:cs="Arial"/>
          <w:sz w:val="18"/>
          <w:szCs w:val="18"/>
          <w:lang w:val="en-CA"/>
        </w:rPr>
        <w:t xml:space="preserve"> </w:t>
      </w:r>
      <w:r w:rsidRPr="004334B6">
        <w:rPr>
          <w:rFonts w:ascii="Arial" w:hAnsi="Arial" w:cs="Arial"/>
          <w:i/>
          <w:sz w:val="18"/>
          <w:szCs w:val="18"/>
          <w:lang w:val="en-CA"/>
        </w:rPr>
        <w:t xml:space="preserve">The Alaska Earthquake, March 27, 1964; Slide-Induced Waves, Seiching And Ground Fracturing Caused by the Earthquake Of March 27, 1964 At Kenai Lake, Alaska. </w:t>
      </w:r>
      <w:r w:rsidRPr="004334B6">
        <w:rPr>
          <w:rFonts w:ascii="Arial" w:hAnsi="Arial" w:cs="Arial"/>
          <w:sz w:val="18"/>
          <w:szCs w:val="18"/>
          <w:lang w:val="en-CA"/>
        </w:rPr>
        <w:t>U.S. Geological Survey Professional Paper 543a, 41 p.</w:t>
      </w:r>
    </w:p>
    <w:p w:rsidR="00EA32B7" w:rsidRPr="004334B6" w:rsidRDefault="00EA32B7" w:rsidP="00EA32B7">
      <w:pPr>
        <w:pStyle w:val="Corpsdetexte"/>
        <w:spacing w:after="0" w:line="100" w:lineRule="atLeast"/>
        <w:jc w:val="both"/>
        <w:rPr>
          <w:rFonts w:ascii="Arial" w:hAnsi="Arial" w:cs="Arial"/>
          <w:sz w:val="18"/>
          <w:szCs w:val="18"/>
        </w:rPr>
      </w:pPr>
      <w:r w:rsidRPr="004334B6">
        <w:rPr>
          <w:rFonts w:ascii="Arial" w:hAnsi="Arial" w:cs="Arial"/>
          <w:b/>
          <w:bCs/>
          <w:color w:val="00000A"/>
          <w:sz w:val="18"/>
          <w:szCs w:val="18"/>
        </w:rPr>
        <w:t>Naugler, F. P., &amp; Wageman, J. M. (1973).</w:t>
      </w:r>
      <w:r w:rsidRPr="004334B6">
        <w:rPr>
          <w:rFonts w:ascii="Arial" w:hAnsi="Arial" w:cs="Arial"/>
          <w:color w:val="00000A"/>
          <w:sz w:val="18"/>
          <w:szCs w:val="18"/>
        </w:rPr>
        <w:t xml:space="preserve"> </w:t>
      </w:r>
      <w:r w:rsidRPr="004334B6">
        <w:rPr>
          <w:rFonts w:ascii="Arial" w:hAnsi="Arial" w:cs="Arial"/>
          <w:i/>
          <w:iCs/>
          <w:color w:val="00000A"/>
          <w:sz w:val="18"/>
          <w:szCs w:val="18"/>
        </w:rPr>
        <w:t>Gulf of alaska; magnetic anomalies, fracture zones, and plate interaction</w:t>
      </w:r>
      <w:r w:rsidRPr="004334B6">
        <w:rPr>
          <w:rFonts w:ascii="Arial" w:hAnsi="Arial" w:cs="Arial"/>
          <w:color w:val="00000A"/>
          <w:sz w:val="18"/>
          <w:szCs w:val="18"/>
        </w:rPr>
        <w:t xml:space="preserve">.Geological Society of America Bulletin, 84(5), 1575-1583. </w:t>
      </w:r>
    </w:p>
    <w:p w:rsidR="00EA32B7" w:rsidRPr="004334B6" w:rsidRDefault="00EA32B7" w:rsidP="00EA32B7">
      <w:pPr>
        <w:pStyle w:val="Corpsdetexte"/>
        <w:spacing w:after="0" w:line="100" w:lineRule="atLeast"/>
        <w:jc w:val="both"/>
        <w:rPr>
          <w:rFonts w:ascii="Arial" w:hAnsi="Arial" w:cs="Arial"/>
          <w:sz w:val="18"/>
          <w:szCs w:val="18"/>
        </w:rPr>
      </w:pPr>
    </w:p>
    <w:p w:rsidR="00EA32B7" w:rsidRPr="004334B6" w:rsidRDefault="00EA32B7" w:rsidP="00EA32B7">
      <w:pPr>
        <w:jc w:val="both"/>
        <w:rPr>
          <w:rFonts w:ascii="Arial" w:hAnsi="Arial" w:cs="Arial"/>
          <w:b/>
          <w:sz w:val="18"/>
          <w:szCs w:val="18"/>
          <w:lang w:val="en-CA"/>
        </w:rPr>
      </w:pPr>
      <w:r w:rsidRPr="004334B6">
        <w:rPr>
          <w:rFonts w:ascii="Arial" w:hAnsi="Arial" w:cs="Arial"/>
          <w:b/>
          <w:sz w:val="18"/>
          <w:szCs w:val="18"/>
        </w:rPr>
        <w:t xml:space="preserve">Nicolsky D.J., Suleimani E.N. et Hansen R.A. (2013). </w:t>
      </w:r>
      <w:r w:rsidRPr="004334B6">
        <w:rPr>
          <w:rFonts w:ascii="Arial" w:hAnsi="Arial" w:cs="Arial"/>
          <w:i/>
          <w:sz w:val="18"/>
          <w:szCs w:val="18"/>
          <w:lang w:val="en-CA"/>
        </w:rPr>
        <w:t xml:space="preserve">Note on the 1964 Alaska Tsunami Generation by Horizontal Displacements of Ocean Bottom; Numerical Modeling of the Runup in Chenega Cove, Alaska. </w:t>
      </w:r>
      <w:r w:rsidRPr="004334B6">
        <w:rPr>
          <w:rFonts w:ascii="Arial" w:hAnsi="Arial" w:cs="Arial"/>
          <w:sz w:val="18"/>
          <w:szCs w:val="18"/>
          <w:lang w:val="en-CA"/>
        </w:rPr>
        <w:t>Pur</w:t>
      </w:r>
      <w:r>
        <w:rPr>
          <w:rFonts w:ascii="Arial" w:hAnsi="Arial" w:cs="Arial"/>
          <w:sz w:val="18"/>
          <w:szCs w:val="18"/>
          <w:lang w:val="en-CA"/>
        </w:rPr>
        <w:t>e Applied Geophysics. 170</w:t>
      </w:r>
      <w:r w:rsidRPr="004334B6">
        <w:rPr>
          <w:rFonts w:ascii="Arial" w:hAnsi="Arial" w:cs="Arial"/>
          <w:sz w:val="18"/>
          <w:szCs w:val="18"/>
          <w:lang w:val="en-CA"/>
        </w:rPr>
        <w:t xml:space="preserve">, 1433–1447, 2012 Springer Basel AG DOI 10.1007/s00024-012-0483-7. </w:t>
      </w:r>
    </w:p>
    <w:p w:rsidR="00EA32B7" w:rsidRPr="004334B6" w:rsidRDefault="00EA32B7" w:rsidP="00EA32B7">
      <w:pPr>
        <w:jc w:val="both"/>
        <w:rPr>
          <w:rFonts w:ascii="Arial" w:hAnsi="Arial" w:cs="Arial"/>
          <w:b/>
          <w:sz w:val="18"/>
          <w:szCs w:val="18"/>
          <w:lang w:val="en-CA"/>
        </w:rPr>
      </w:pPr>
      <w:r w:rsidRPr="004334B6">
        <w:rPr>
          <w:rFonts w:ascii="Arial" w:hAnsi="Arial" w:cs="Arial"/>
          <w:b/>
          <w:sz w:val="18"/>
          <w:szCs w:val="18"/>
          <w:lang w:val="en-CA"/>
        </w:rPr>
        <w:t>Plafker, G. (1965)</w:t>
      </w:r>
      <w:r w:rsidRPr="004334B6">
        <w:rPr>
          <w:rFonts w:ascii="Arial" w:hAnsi="Arial" w:cs="Arial"/>
          <w:sz w:val="18"/>
          <w:szCs w:val="18"/>
          <w:lang w:val="en-CA"/>
        </w:rPr>
        <w:t>. Tectonic Deformation Associated with the 1964 Alaskan Earthquake. Science, Vol. 148, pp. 1675-1687.</w:t>
      </w:r>
    </w:p>
    <w:p w:rsidR="00EA32B7" w:rsidRPr="004334B6" w:rsidRDefault="00EA32B7" w:rsidP="00EA32B7">
      <w:pPr>
        <w:jc w:val="both"/>
        <w:rPr>
          <w:rFonts w:ascii="Arial" w:hAnsi="Arial" w:cs="Arial"/>
          <w:b/>
          <w:bCs/>
          <w:color w:val="00000A"/>
          <w:sz w:val="18"/>
          <w:szCs w:val="18"/>
          <w:lang w:val="en-CA"/>
        </w:rPr>
      </w:pPr>
      <w:r w:rsidRPr="004334B6">
        <w:rPr>
          <w:rFonts w:ascii="Arial" w:hAnsi="Arial" w:cs="Arial"/>
          <w:b/>
          <w:sz w:val="18"/>
          <w:szCs w:val="18"/>
          <w:lang w:val="en-CA"/>
        </w:rPr>
        <w:t>Press, F. et Jackson, D. (1965)</w:t>
      </w:r>
      <w:r w:rsidRPr="004334B6">
        <w:rPr>
          <w:rFonts w:ascii="Arial" w:hAnsi="Arial" w:cs="Arial"/>
          <w:sz w:val="18"/>
          <w:szCs w:val="18"/>
          <w:lang w:val="en-CA"/>
        </w:rPr>
        <w:t>. Alaskan Earthquake, 27 March 1964 : Vertical Extent of Faulting and Elastic Strain Energy Release. Science, Vol. 147, pp. 897-898.</w:t>
      </w:r>
    </w:p>
    <w:p w:rsidR="00EA32B7" w:rsidRPr="004334B6" w:rsidRDefault="00EA32B7" w:rsidP="00EA32B7">
      <w:pPr>
        <w:pStyle w:val="Corpsdetexte"/>
        <w:spacing w:after="0" w:line="360" w:lineRule="auto"/>
        <w:jc w:val="both"/>
        <w:rPr>
          <w:rFonts w:ascii="Arial" w:hAnsi="Arial" w:cs="Arial"/>
          <w:b/>
          <w:sz w:val="18"/>
          <w:szCs w:val="18"/>
        </w:rPr>
      </w:pPr>
      <w:r w:rsidRPr="004334B6">
        <w:rPr>
          <w:rFonts w:ascii="Arial" w:hAnsi="Arial" w:cs="Arial"/>
          <w:b/>
          <w:bCs/>
          <w:color w:val="00000A"/>
          <w:sz w:val="18"/>
          <w:szCs w:val="18"/>
        </w:rPr>
        <w:t>Tarr, R. S., Martin, L., &amp; Gilbert, G. K. (1912).</w:t>
      </w:r>
      <w:r w:rsidRPr="004334B6">
        <w:rPr>
          <w:rFonts w:ascii="Arial" w:hAnsi="Arial" w:cs="Arial"/>
          <w:color w:val="00000A"/>
          <w:sz w:val="18"/>
          <w:szCs w:val="18"/>
        </w:rPr>
        <w:t xml:space="preserve"> </w:t>
      </w:r>
      <w:r w:rsidRPr="004334B6">
        <w:rPr>
          <w:rFonts w:ascii="Arial" w:hAnsi="Arial" w:cs="Arial"/>
          <w:i/>
          <w:iCs/>
          <w:color w:val="00000A"/>
          <w:sz w:val="18"/>
          <w:szCs w:val="18"/>
        </w:rPr>
        <w:t>The earthquakes at yakutat bay, alaska, in september, 1899; with a preface by G. K. gilbert</w:t>
      </w:r>
      <w:r w:rsidRPr="004334B6">
        <w:rPr>
          <w:rFonts w:ascii="Arial" w:hAnsi="Arial" w:cs="Arial"/>
          <w:color w:val="00000A"/>
          <w:sz w:val="18"/>
          <w:szCs w:val="18"/>
        </w:rPr>
        <w:t>. U.S.Geological Survey Professional Paper</w:t>
      </w:r>
      <w:r w:rsidRPr="004334B6">
        <w:rPr>
          <w:rFonts w:ascii="Arial" w:hAnsi="Arial" w:cs="Arial"/>
          <w:i/>
          <w:color w:val="00000A"/>
          <w:sz w:val="18"/>
          <w:szCs w:val="18"/>
        </w:rPr>
        <w:t>, </w:t>
      </w:r>
      <w:r w:rsidRPr="004334B6">
        <w:rPr>
          <w:rFonts w:ascii="Arial" w:hAnsi="Arial" w:cs="Arial"/>
          <w:color w:val="00000A"/>
          <w:sz w:val="18"/>
          <w:szCs w:val="18"/>
        </w:rPr>
        <w:t xml:space="preserve"> 135. </w:t>
      </w:r>
    </w:p>
    <w:p w:rsidR="00EA32B7" w:rsidRPr="004334B6" w:rsidRDefault="00EA32B7" w:rsidP="00EA32B7">
      <w:pPr>
        <w:jc w:val="both"/>
        <w:rPr>
          <w:rFonts w:ascii="Arial" w:hAnsi="Arial" w:cs="Arial"/>
          <w:b/>
          <w:sz w:val="18"/>
          <w:szCs w:val="18"/>
        </w:rPr>
      </w:pPr>
      <w:r w:rsidRPr="004334B6">
        <w:rPr>
          <w:rFonts w:ascii="Arial" w:hAnsi="Arial" w:cs="Arial"/>
          <w:b/>
          <w:sz w:val="18"/>
          <w:szCs w:val="18"/>
          <w:lang w:val="en-CA"/>
        </w:rPr>
        <w:t>USGS; United States Geological Survey (2012)</w:t>
      </w:r>
      <w:r w:rsidRPr="004334B6">
        <w:rPr>
          <w:rFonts w:ascii="Arial" w:hAnsi="Arial" w:cs="Arial"/>
          <w:sz w:val="18"/>
          <w:szCs w:val="18"/>
          <w:lang w:val="en-CA"/>
        </w:rPr>
        <w:t xml:space="preserve">. </w:t>
      </w:r>
      <w:r w:rsidRPr="004334B6">
        <w:rPr>
          <w:rFonts w:ascii="Arial" w:hAnsi="Arial" w:cs="Arial"/>
          <w:i/>
          <w:sz w:val="18"/>
          <w:szCs w:val="18"/>
          <w:lang w:val="en-CA"/>
        </w:rPr>
        <w:t>Historic Earthquakes: The 1964 Great Earthquake of Alaska</w:t>
      </w:r>
      <w:r w:rsidRPr="004334B6">
        <w:rPr>
          <w:rFonts w:ascii="Arial" w:hAnsi="Arial" w:cs="Arial"/>
          <w:sz w:val="18"/>
          <w:szCs w:val="18"/>
          <w:lang w:val="en-CA"/>
        </w:rPr>
        <w:t xml:space="preserve">. Résumé après: Stover, C.W. et Coffman, J.L. (1993). Seismicity of the United States, 1568-1989 (Revised), U.S. Geological Survey Professional Paper 1527, United States Government Printing Office, Washington. </w:t>
      </w:r>
      <w:r w:rsidRPr="004334B6">
        <w:rPr>
          <w:rFonts w:ascii="Arial" w:hAnsi="Arial" w:cs="Arial"/>
          <w:sz w:val="18"/>
          <w:szCs w:val="18"/>
          <w:lang w:val="fr-FR"/>
        </w:rPr>
        <w:t>Page consultée le 11 mars 2014. [En ligne] URL: http://earthquake.usgs.gov/earthquakes/states/events/1964_03_28.php</w:t>
      </w:r>
    </w:p>
    <w:p w:rsidR="00EA32B7" w:rsidRPr="004334B6" w:rsidRDefault="00EA32B7" w:rsidP="00EA32B7">
      <w:pPr>
        <w:jc w:val="both"/>
        <w:rPr>
          <w:rFonts w:ascii="Arial" w:hAnsi="Arial" w:cs="Arial"/>
          <w:b/>
          <w:bCs/>
          <w:color w:val="00000A"/>
          <w:sz w:val="18"/>
          <w:szCs w:val="18"/>
        </w:rPr>
      </w:pPr>
      <w:r w:rsidRPr="004334B6">
        <w:rPr>
          <w:rFonts w:ascii="Arial" w:hAnsi="Arial" w:cs="Arial"/>
          <w:b/>
          <w:sz w:val="18"/>
          <w:szCs w:val="18"/>
          <w:lang w:val="en-CA"/>
        </w:rPr>
        <w:t xml:space="preserve">USGS; United States Geological Survey (2014). </w:t>
      </w:r>
      <w:r w:rsidRPr="004334B6">
        <w:rPr>
          <w:rFonts w:ascii="Arial" w:hAnsi="Arial" w:cs="Arial"/>
          <w:i/>
          <w:sz w:val="18"/>
          <w:szCs w:val="18"/>
          <w:lang w:val="en-CA"/>
        </w:rPr>
        <w:t xml:space="preserve">The Great Alaska Earthquake and Tsunami of March 27, 1964. </w:t>
      </w:r>
      <w:r w:rsidRPr="004334B6">
        <w:rPr>
          <w:rFonts w:ascii="Arial" w:hAnsi="Arial" w:cs="Arial"/>
          <w:sz w:val="18"/>
          <w:szCs w:val="18"/>
        </w:rPr>
        <w:t>Page consultée le 11 mars 2014. [En ligne]. URL: http://earthquake.usgs.gov/earthquakes/events/alaska1964/</w:t>
      </w:r>
    </w:p>
    <w:p w:rsidR="002524DA" w:rsidRPr="00EA32B7" w:rsidRDefault="00EA32B7" w:rsidP="00EA32B7">
      <w:pPr>
        <w:spacing w:line="360" w:lineRule="auto"/>
        <w:jc w:val="both"/>
        <w:rPr>
          <w:rFonts w:ascii="Arial" w:hAnsi="Arial" w:cs="Arial"/>
          <w:sz w:val="18"/>
          <w:szCs w:val="18"/>
        </w:rPr>
      </w:pPr>
      <w:r w:rsidRPr="004334B6">
        <w:rPr>
          <w:rFonts w:ascii="Arial" w:hAnsi="Arial" w:cs="Arial"/>
          <w:b/>
          <w:bCs/>
          <w:color w:val="00000A"/>
          <w:sz w:val="18"/>
          <w:szCs w:val="18"/>
          <w:lang w:val="en-CA"/>
        </w:rPr>
        <w:lastRenderedPageBreak/>
        <w:t>Van Avendonk, H.,J.A., Gulick, S. P. S., Christeson, G. L., Worthington, L. L., Pavlis, T. L., &amp; Ridgway, K. D. (2013).</w:t>
      </w:r>
      <w:r w:rsidRPr="004334B6">
        <w:rPr>
          <w:rFonts w:ascii="Arial" w:hAnsi="Arial" w:cs="Arial"/>
          <w:color w:val="00000A"/>
          <w:sz w:val="18"/>
          <w:szCs w:val="18"/>
          <w:lang w:val="en-CA"/>
        </w:rPr>
        <w:t xml:space="preserve"> </w:t>
      </w:r>
      <w:r w:rsidRPr="004334B6">
        <w:rPr>
          <w:rFonts w:ascii="Arial" w:hAnsi="Arial" w:cs="Arial"/>
          <w:i/>
          <w:iCs/>
          <w:color w:val="00000A"/>
          <w:sz w:val="18"/>
          <w:szCs w:val="18"/>
          <w:lang w:val="en-CA"/>
        </w:rPr>
        <w:t>Subduction and accretion of sedimentary rocks in the yakutat collision zone, st. elias orogen, gulf of alaska</w:t>
      </w:r>
      <w:r w:rsidRPr="004334B6">
        <w:rPr>
          <w:rFonts w:ascii="Arial" w:hAnsi="Arial" w:cs="Arial"/>
          <w:color w:val="00000A"/>
          <w:sz w:val="18"/>
          <w:szCs w:val="18"/>
          <w:lang w:val="en-CA"/>
        </w:rPr>
        <w:t>. Earth and Planetary Science Letters, 381, 116-126.</w:t>
      </w:r>
    </w:p>
    <w:sectPr w:rsidR="002524DA" w:rsidRPr="00EA32B7" w:rsidSect="00B02965">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79C" w:rsidRDefault="008A579C" w:rsidP="006E7425">
      <w:pPr>
        <w:spacing w:after="0" w:line="240" w:lineRule="auto"/>
      </w:pPr>
      <w:r>
        <w:separator/>
      </w:r>
    </w:p>
  </w:endnote>
  <w:endnote w:type="continuationSeparator" w:id="0">
    <w:p w:rsidR="008A579C" w:rsidRDefault="008A579C" w:rsidP="006E74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843661"/>
      <w:docPartObj>
        <w:docPartGallery w:val="Page Numbers (Bottom of Page)"/>
        <w:docPartUnique/>
      </w:docPartObj>
    </w:sdtPr>
    <w:sdtContent>
      <w:p w:rsidR="006E7425" w:rsidRDefault="00AD0F73">
        <w:pPr>
          <w:pStyle w:val="Pieddepage"/>
          <w:jc w:val="right"/>
        </w:pPr>
        <w:r>
          <w:fldChar w:fldCharType="begin"/>
        </w:r>
        <w:r w:rsidR="006E7425">
          <w:instrText>PAGE   \* MERGEFORMAT</w:instrText>
        </w:r>
        <w:r>
          <w:fldChar w:fldCharType="separate"/>
        </w:r>
        <w:r w:rsidR="00D14381" w:rsidRPr="00D14381">
          <w:rPr>
            <w:noProof/>
            <w:lang w:val="fr-FR"/>
          </w:rPr>
          <w:t>13</w:t>
        </w:r>
        <w:r>
          <w:fldChar w:fldCharType="end"/>
        </w:r>
      </w:p>
    </w:sdtContent>
  </w:sdt>
  <w:p w:rsidR="006E7425" w:rsidRDefault="006E742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79C" w:rsidRDefault="008A579C" w:rsidP="006E7425">
      <w:pPr>
        <w:spacing w:after="0" w:line="240" w:lineRule="auto"/>
      </w:pPr>
      <w:r>
        <w:separator/>
      </w:r>
    </w:p>
  </w:footnote>
  <w:footnote w:type="continuationSeparator" w:id="0">
    <w:p w:rsidR="008A579C" w:rsidRDefault="008A579C" w:rsidP="006E742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C258BF"/>
    <w:rsid w:val="000011BF"/>
    <w:rsid w:val="00033595"/>
    <w:rsid w:val="000340A9"/>
    <w:rsid w:val="001F4E1E"/>
    <w:rsid w:val="002225C9"/>
    <w:rsid w:val="002524DA"/>
    <w:rsid w:val="002C03FF"/>
    <w:rsid w:val="003920C5"/>
    <w:rsid w:val="003C16EF"/>
    <w:rsid w:val="0040387F"/>
    <w:rsid w:val="00425DC9"/>
    <w:rsid w:val="004E785B"/>
    <w:rsid w:val="00557D5A"/>
    <w:rsid w:val="005640D4"/>
    <w:rsid w:val="00590EAE"/>
    <w:rsid w:val="005E6ADC"/>
    <w:rsid w:val="00620B6E"/>
    <w:rsid w:val="0063195D"/>
    <w:rsid w:val="006C52F8"/>
    <w:rsid w:val="006E7425"/>
    <w:rsid w:val="00773F8C"/>
    <w:rsid w:val="007B38ED"/>
    <w:rsid w:val="008A579C"/>
    <w:rsid w:val="008C19C1"/>
    <w:rsid w:val="00AB1075"/>
    <w:rsid w:val="00AD0F73"/>
    <w:rsid w:val="00B00EE9"/>
    <w:rsid w:val="00B07317"/>
    <w:rsid w:val="00B41164"/>
    <w:rsid w:val="00B903C4"/>
    <w:rsid w:val="00BF1C87"/>
    <w:rsid w:val="00C0553A"/>
    <w:rsid w:val="00C20AC7"/>
    <w:rsid w:val="00C258BF"/>
    <w:rsid w:val="00D14381"/>
    <w:rsid w:val="00D327BC"/>
    <w:rsid w:val="00D577D4"/>
    <w:rsid w:val="00DC53BA"/>
    <w:rsid w:val="00E23953"/>
    <w:rsid w:val="00EA32B7"/>
    <w:rsid w:val="00EC52B7"/>
    <w:rsid w:val="00F33587"/>
    <w:rsid w:val="00FB2C3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2B7"/>
  </w:style>
  <w:style w:type="paragraph" w:styleId="Titre1">
    <w:name w:val="heading 1"/>
    <w:basedOn w:val="Normal"/>
    <w:next w:val="Normal"/>
    <w:link w:val="Titre1Car"/>
    <w:uiPriority w:val="9"/>
    <w:qFormat/>
    <w:rsid w:val="00EA32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A32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A32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32B7"/>
    <w:rPr>
      <w:rFonts w:ascii="Tahoma" w:hAnsi="Tahoma" w:cs="Tahoma"/>
      <w:sz w:val="16"/>
      <w:szCs w:val="16"/>
    </w:rPr>
  </w:style>
  <w:style w:type="character" w:customStyle="1" w:styleId="Titre1Car">
    <w:name w:val="Titre 1 Car"/>
    <w:basedOn w:val="Policepardfaut"/>
    <w:link w:val="Titre1"/>
    <w:uiPriority w:val="9"/>
    <w:rsid w:val="00EA32B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EA32B7"/>
    <w:pPr>
      <w:outlineLvl w:val="9"/>
    </w:pPr>
    <w:rPr>
      <w:lang w:eastAsia="fr-CA"/>
    </w:rPr>
  </w:style>
  <w:style w:type="paragraph" w:styleId="Tabledesillustrations">
    <w:name w:val="table of figures"/>
    <w:basedOn w:val="Normal"/>
    <w:next w:val="Normal"/>
    <w:uiPriority w:val="99"/>
    <w:unhideWhenUsed/>
    <w:rsid w:val="00EA32B7"/>
    <w:pPr>
      <w:spacing w:after="0"/>
      <w:ind w:left="440" w:hanging="440"/>
    </w:pPr>
    <w:rPr>
      <w:smallCaps/>
      <w:sz w:val="20"/>
      <w:szCs w:val="20"/>
    </w:rPr>
  </w:style>
  <w:style w:type="paragraph" w:styleId="Lgende">
    <w:name w:val="caption"/>
    <w:basedOn w:val="Normal"/>
    <w:next w:val="Normal"/>
    <w:unhideWhenUsed/>
    <w:qFormat/>
    <w:rsid w:val="00EA32B7"/>
    <w:pPr>
      <w:spacing w:line="240" w:lineRule="auto"/>
    </w:pPr>
    <w:rPr>
      <w:b/>
      <w:bCs/>
      <w:color w:val="4F81BD" w:themeColor="accent1"/>
      <w:sz w:val="18"/>
      <w:szCs w:val="18"/>
    </w:rPr>
  </w:style>
  <w:style w:type="paragraph" w:styleId="TM1">
    <w:name w:val="toc 1"/>
    <w:basedOn w:val="Normal"/>
    <w:next w:val="Normal"/>
    <w:autoRedefine/>
    <w:uiPriority w:val="39"/>
    <w:unhideWhenUsed/>
    <w:rsid w:val="00EA32B7"/>
    <w:pPr>
      <w:spacing w:after="100"/>
    </w:pPr>
  </w:style>
  <w:style w:type="character" w:styleId="Lienhypertexte">
    <w:name w:val="Hyperlink"/>
    <w:basedOn w:val="Policepardfaut"/>
    <w:uiPriority w:val="99"/>
    <w:unhideWhenUsed/>
    <w:rsid w:val="00EA32B7"/>
    <w:rPr>
      <w:color w:val="0000FF" w:themeColor="hyperlink"/>
      <w:u w:val="single"/>
    </w:rPr>
  </w:style>
  <w:style w:type="character" w:customStyle="1" w:styleId="Titre2Car">
    <w:name w:val="Titre 2 Car"/>
    <w:basedOn w:val="Policepardfaut"/>
    <w:link w:val="Titre2"/>
    <w:uiPriority w:val="9"/>
    <w:rsid w:val="00EA32B7"/>
    <w:rPr>
      <w:rFonts w:asciiTheme="majorHAnsi" w:eastAsiaTheme="majorEastAsia" w:hAnsiTheme="majorHAnsi" w:cstheme="majorBidi"/>
      <w:b/>
      <w:bCs/>
      <w:color w:val="4F81BD" w:themeColor="accent1"/>
      <w:sz w:val="26"/>
      <w:szCs w:val="26"/>
    </w:rPr>
  </w:style>
  <w:style w:type="paragraph" w:styleId="Corpsdetexte">
    <w:name w:val="Body Text"/>
    <w:basedOn w:val="Normal"/>
    <w:link w:val="CorpsdetexteCar"/>
    <w:rsid w:val="00EA32B7"/>
    <w:pPr>
      <w:widowControl w:val="0"/>
      <w:suppressAutoHyphens/>
      <w:spacing w:after="120" w:line="240" w:lineRule="auto"/>
    </w:pPr>
    <w:rPr>
      <w:rFonts w:ascii="Times New Roman" w:eastAsia="SimSun" w:hAnsi="Times New Roman" w:cs="Mangal"/>
      <w:kern w:val="1"/>
      <w:sz w:val="24"/>
      <w:szCs w:val="24"/>
      <w:lang w:val="en-CA" w:eastAsia="zh-CN" w:bidi="hi-IN"/>
    </w:rPr>
  </w:style>
  <w:style w:type="character" w:customStyle="1" w:styleId="CorpsdetexteCar">
    <w:name w:val="Corps de texte Car"/>
    <w:basedOn w:val="Policepardfaut"/>
    <w:link w:val="Corpsdetexte"/>
    <w:rsid w:val="00EA32B7"/>
    <w:rPr>
      <w:rFonts w:ascii="Times New Roman" w:eastAsia="SimSun" w:hAnsi="Times New Roman" w:cs="Mangal"/>
      <w:kern w:val="1"/>
      <w:sz w:val="24"/>
      <w:szCs w:val="24"/>
      <w:lang w:val="en-CA" w:eastAsia="zh-CN" w:bidi="hi-IN"/>
    </w:rPr>
  </w:style>
  <w:style w:type="paragraph" w:styleId="TM2">
    <w:name w:val="toc 2"/>
    <w:basedOn w:val="Normal"/>
    <w:next w:val="Normal"/>
    <w:autoRedefine/>
    <w:uiPriority w:val="39"/>
    <w:unhideWhenUsed/>
    <w:rsid w:val="006E7425"/>
    <w:pPr>
      <w:spacing w:after="100"/>
      <w:ind w:left="220"/>
    </w:pPr>
  </w:style>
  <w:style w:type="paragraph" w:styleId="En-tte">
    <w:name w:val="header"/>
    <w:basedOn w:val="Normal"/>
    <w:link w:val="En-tteCar"/>
    <w:uiPriority w:val="99"/>
    <w:unhideWhenUsed/>
    <w:rsid w:val="006E7425"/>
    <w:pPr>
      <w:tabs>
        <w:tab w:val="center" w:pos="4320"/>
        <w:tab w:val="right" w:pos="8640"/>
      </w:tabs>
      <w:spacing w:after="0" w:line="240" w:lineRule="auto"/>
    </w:pPr>
  </w:style>
  <w:style w:type="character" w:customStyle="1" w:styleId="En-tteCar">
    <w:name w:val="En-tête Car"/>
    <w:basedOn w:val="Policepardfaut"/>
    <w:link w:val="En-tte"/>
    <w:uiPriority w:val="99"/>
    <w:rsid w:val="006E7425"/>
  </w:style>
  <w:style w:type="paragraph" w:styleId="Pieddepage">
    <w:name w:val="footer"/>
    <w:basedOn w:val="Normal"/>
    <w:link w:val="PieddepageCar"/>
    <w:uiPriority w:val="99"/>
    <w:unhideWhenUsed/>
    <w:rsid w:val="006E742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7425"/>
  </w:style>
  <w:style w:type="character" w:customStyle="1" w:styleId="apple-converted-space">
    <w:name w:val="apple-converted-space"/>
    <w:basedOn w:val="Policepardfaut"/>
    <w:rsid w:val="005E6A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2B7"/>
  </w:style>
  <w:style w:type="paragraph" w:styleId="Titre1">
    <w:name w:val="heading 1"/>
    <w:basedOn w:val="Normal"/>
    <w:next w:val="Normal"/>
    <w:link w:val="Titre1Car"/>
    <w:uiPriority w:val="9"/>
    <w:qFormat/>
    <w:rsid w:val="00EA32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A32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A32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32B7"/>
    <w:rPr>
      <w:rFonts w:ascii="Tahoma" w:hAnsi="Tahoma" w:cs="Tahoma"/>
      <w:sz w:val="16"/>
      <w:szCs w:val="16"/>
    </w:rPr>
  </w:style>
  <w:style w:type="character" w:customStyle="1" w:styleId="Titre1Car">
    <w:name w:val="Titre 1 Car"/>
    <w:basedOn w:val="Policepardfaut"/>
    <w:link w:val="Titre1"/>
    <w:uiPriority w:val="9"/>
    <w:rsid w:val="00EA32B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EA32B7"/>
    <w:pPr>
      <w:outlineLvl w:val="9"/>
    </w:pPr>
    <w:rPr>
      <w:lang w:eastAsia="fr-CA"/>
    </w:rPr>
  </w:style>
  <w:style w:type="paragraph" w:styleId="Tabledesillustrations">
    <w:name w:val="table of figures"/>
    <w:basedOn w:val="Normal"/>
    <w:next w:val="Normal"/>
    <w:uiPriority w:val="99"/>
    <w:unhideWhenUsed/>
    <w:rsid w:val="00EA32B7"/>
    <w:pPr>
      <w:spacing w:after="0"/>
      <w:ind w:left="440" w:hanging="440"/>
    </w:pPr>
    <w:rPr>
      <w:smallCaps/>
      <w:sz w:val="20"/>
      <w:szCs w:val="20"/>
    </w:rPr>
  </w:style>
  <w:style w:type="paragraph" w:styleId="Lgende">
    <w:name w:val="caption"/>
    <w:basedOn w:val="Normal"/>
    <w:next w:val="Normal"/>
    <w:unhideWhenUsed/>
    <w:qFormat/>
    <w:rsid w:val="00EA32B7"/>
    <w:pPr>
      <w:spacing w:line="240" w:lineRule="auto"/>
    </w:pPr>
    <w:rPr>
      <w:b/>
      <w:bCs/>
      <w:color w:val="4F81BD" w:themeColor="accent1"/>
      <w:sz w:val="18"/>
      <w:szCs w:val="18"/>
    </w:rPr>
  </w:style>
  <w:style w:type="paragraph" w:styleId="TM1">
    <w:name w:val="toc 1"/>
    <w:basedOn w:val="Normal"/>
    <w:next w:val="Normal"/>
    <w:autoRedefine/>
    <w:uiPriority w:val="39"/>
    <w:unhideWhenUsed/>
    <w:rsid w:val="00EA32B7"/>
    <w:pPr>
      <w:spacing w:after="100"/>
    </w:pPr>
  </w:style>
  <w:style w:type="character" w:styleId="Lienhypertexte">
    <w:name w:val="Hyperlink"/>
    <w:basedOn w:val="Policepardfaut"/>
    <w:uiPriority w:val="99"/>
    <w:unhideWhenUsed/>
    <w:rsid w:val="00EA32B7"/>
    <w:rPr>
      <w:color w:val="0000FF" w:themeColor="hyperlink"/>
      <w:u w:val="single"/>
    </w:rPr>
  </w:style>
  <w:style w:type="character" w:customStyle="1" w:styleId="Titre2Car">
    <w:name w:val="Titre 2 Car"/>
    <w:basedOn w:val="Policepardfaut"/>
    <w:link w:val="Titre2"/>
    <w:uiPriority w:val="9"/>
    <w:rsid w:val="00EA32B7"/>
    <w:rPr>
      <w:rFonts w:asciiTheme="majorHAnsi" w:eastAsiaTheme="majorEastAsia" w:hAnsiTheme="majorHAnsi" w:cstheme="majorBidi"/>
      <w:b/>
      <w:bCs/>
      <w:color w:val="4F81BD" w:themeColor="accent1"/>
      <w:sz w:val="26"/>
      <w:szCs w:val="26"/>
    </w:rPr>
  </w:style>
  <w:style w:type="paragraph" w:styleId="Corpsdetexte">
    <w:name w:val="Body Text"/>
    <w:basedOn w:val="Normal"/>
    <w:link w:val="CorpsdetexteCar"/>
    <w:rsid w:val="00EA32B7"/>
    <w:pPr>
      <w:widowControl w:val="0"/>
      <w:suppressAutoHyphens/>
      <w:spacing w:after="120" w:line="240" w:lineRule="auto"/>
    </w:pPr>
    <w:rPr>
      <w:rFonts w:ascii="Times New Roman" w:eastAsia="SimSun" w:hAnsi="Times New Roman" w:cs="Mangal"/>
      <w:kern w:val="1"/>
      <w:sz w:val="24"/>
      <w:szCs w:val="24"/>
      <w:lang w:val="en-CA" w:eastAsia="zh-CN" w:bidi="hi-IN"/>
    </w:rPr>
  </w:style>
  <w:style w:type="character" w:customStyle="1" w:styleId="CorpsdetexteCar">
    <w:name w:val="Corps de texte Car"/>
    <w:basedOn w:val="Policepardfaut"/>
    <w:link w:val="Corpsdetexte"/>
    <w:rsid w:val="00EA32B7"/>
    <w:rPr>
      <w:rFonts w:ascii="Times New Roman" w:eastAsia="SimSun" w:hAnsi="Times New Roman" w:cs="Mangal"/>
      <w:kern w:val="1"/>
      <w:sz w:val="24"/>
      <w:szCs w:val="24"/>
      <w:lang w:val="en-CA" w:eastAsia="zh-CN" w:bidi="hi-IN"/>
    </w:rPr>
  </w:style>
  <w:style w:type="paragraph" w:styleId="TM2">
    <w:name w:val="toc 2"/>
    <w:basedOn w:val="Normal"/>
    <w:next w:val="Normal"/>
    <w:autoRedefine/>
    <w:uiPriority w:val="39"/>
    <w:unhideWhenUsed/>
    <w:rsid w:val="006E7425"/>
    <w:pPr>
      <w:spacing w:after="100"/>
      <w:ind w:left="220"/>
    </w:pPr>
  </w:style>
  <w:style w:type="paragraph" w:styleId="En-tte">
    <w:name w:val="header"/>
    <w:basedOn w:val="Normal"/>
    <w:link w:val="En-tteCar"/>
    <w:uiPriority w:val="99"/>
    <w:unhideWhenUsed/>
    <w:rsid w:val="006E7425"/>
    <w:pPr>
      <w:tabs>
        <w:tab w:val="center" w:pos="4320"/>
        <w:tab w:val="right" w:pos="8640"/>
      </w:tabs>
      <w:spacing w:after="0" w:line="240" w:lineRule="auto"/>
    </w:pPr>
  </w:style>
  <w:style w:type="character" w:customStyle="1" w:styleId="En-tteCar">
    <w:name w:val="En-tête Car"/>
    <w:basedOn w:val="Policepardfaut"/>
    <w:link w:val="En-tte"/>
    <w:uiPriority w:val="99"/>
    <w:rsid w:val="006E7425"/>
  </w:style>
  <w:style w:type="paragraph" w:styleId="Pieddepage">
    <w:name w:val="footer"/>
    <w:basedOn w:val="Normal"/>
    <w:link w:val="PieddepageCar"/>
    <w:uiPriority w:val="99"/>
    <w:unhideWhenUsed/>
    <w:rsid w:val="006E742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742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F7FEB-2787-44B7-988C-012DF28B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2800</Words>
  <Characters>15406</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18170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ggl</cp:lastModifiedBy>
  <cp:revision>2</cp:revision>
  <dcterms:created xsi:type="dcterms:W3CDTF">2014-03-27T19:34:00Z</dcterms:created>
  <dcterms:modified xsi:type="dcterms:W3CDTF">2014-03-27T19:34:00Z</dcterms:modified>
</cp:coreProperties>
</file>